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C51" w:rsidRPr="00BC2EF8" w:rsidRDefault="00C617C6" w:rsidP="00C05C51">
      <w:pPr>
        <w:keepNext/>
        <w:keepLines/>
        <w:spacing w:before="120" w:after="0" w:line="240" w:lineRule="auto"/>
        <w:jc w:val="both"/>
        <w:outlineLvl w:val="0"/>
        <w:rPr>
          <w:rFonts w:ascii="Times New Roman" w:eastAsia="Times New Roman" w:hAnsi="Times New Roman" w:cs="Times New Roman"/>
          <w:b/>
          <w:bCs/>
          <w:kern w:val="28"/>
          <w:sz w:val="24"/>
          <w:szCs w:val="24"/>
        </w:rPr>
      </w:pPr>
      <w:bookmarkStart w:id="0" w:name="_Toc403946511"/>
      <w:r>
        <w:rPr>
          <w:rFonts w:ascii="Times New Roman" w:eastAsia="Times New Roman" w:hAnsi="Times New Roman" w:cs="Times New Roman"/>
          <w:b/>
          <w:bCs/>
          <w:i/>
          <w:kern w:val="28"/>
          <w:sz w:val="24"/>
          <w:szCs w:val="24"/>
        </w:rPr>
        <w:t>30</w:t>
      </w:r>
      <w:r w:rsidR="00C05C51" w:rsidRPr="00BC2EF8">
        <w:rPr>
          <w:rFonts w:ascii="Times New Roman" w:eastAsia="Times New Roman" w:hAnsi="Times New Roman" w:cs="Times New Roman"/>
          <w:b/>
          <w:bCs/>
          <w:i/>
          <w:kern w:val="28"/>
          <w:sz w:val="24"/>
          <w:szCs w:val="24"/>
        </w:rPr>
        <w:t>.</w:t>
      </w:r>
      <w:r w:rsidR="004A27C0">
        <w:rPr>
          <w:rFonts w:ascii="Times New Roman" w:eastAsia="Times New Roman" w:hAnsi="Times New Roman" w:cs="Times New Roman"/>
          <w:b/>
          <w:bCs/>
          <w:i/>
          <w:kern w:val="28"/>
          <w:sz w:val="24"/>
          <w:szCs w:val="24"/>
        </w:rPr>
        <w:t>0</w:t>
      </w:r>
      <w:r>
        <w:rPr>
          <w:rFonts w:ascii="Times New Roman" w:eastAsia="Times New Roman" w:hAnsi="Times New Roman" w:cs="Times New Roman"/>
          <w:b/>
          <w:bCs/>
          <w:i/>
          <w:kern w:val="28"/>
          <w:sz w:val="24"/>
          <w:szCs w:val="24"/>
        </w:rPr>
        <w:t>1</w:t>
      </w:r>
      <w:r w:rsidR="00C05C51" w:rsidRPr="00BC2EF8">
        <w:rPr>
          <w:rFonts w:ascii="Times New Roman" w:eastAsia="Times New Roman" w:hAnsi="Times New Roman" w:cs="Times New Roman"/>
          <w:b/>
          <w:bCs/>
          <w:i/>
          <w:kern w:val="28"/>
          <w:sz w:val="24"/>
          <w:szCs w:val="24"/>
        </w:rPr>
        <w:t>.201</w:t>
      </w:r>
      <w:r>
        <w:rPr>
          <w:rFonts w:ascii="Times New Roman" w:eastAsia="Times New Roman" w:hAnsi="Times New Roman" w:cs="Times New Roman"/>
          <w:b/>
          <w:bCs/>
          <w:i/>
          <w:kern w:val="28"/>
          <w:sz w:val="24"/>
          <w:szCs w:val="24"/>
        </w:rPr>
        <w:t>8</w:t>
      </w:r>
      <w:r w:rsidR="00C05C51" w:rsidRPr="00BC2EF8">
        <w:rPr>
          <w:rFonts w:ascii="Times New Roman" w:eastAsia="Times New Roman" w:hAnsi="Times New Roman" w:cs="Times New Roman"/>
          <w:b/>
          <w:bCs/>
          <w:kern w:val="28"/>
          <w:sz w:val="24"/>
          <w:szCs w:val="24"/>
        </w:rPr>
        <w:t xml:space="preserve">. lēmums par </w:t>
      </w:r>
      <w:proofErr w:type="spellStart"/>
      <w:r w:rsidR="00C05C51" w:rsidRPr="00BC2EF8">
        <w:rPr>
          <w:rFonts w:ascii="Times New Roman" w:eastAsia="Times New Roman" w:hAnsi="Times New Roman" w:cs="Times New Roman"/>
          <w:b/>
          <w:bCs/>
          <w:kern w:val="28"/>
          <w:sz w:val="24"/>
          <w:szCs w:val="24"/>
        </w:rPr>
        <w:t>Pretcikliskās</w:t>
      </w:r>
      <w:proofErr w:type="spellEnd"/>
      <w:r w:rsidR="00C05C51" w:rsidRPr="00BC2EF8">
        <w:rPr>
          <w:rFonts w:ascii="Times New Roman" w:eastAsia="Times New Roman" w:hAnsi="Times New Roman" w:cs="Times New Roman"/>
          <w:b/>
          <w:bCs/>
          <w:kern w:val="28"/>
          <w:sz w:val="24"/>
          <w:szCs w:val="24"/>
        </w:rPr>
        <w:t xml:space="preserve"> kapitāla rezerves normas noteikšanu</w:t>
      </w:r>
    </w:p>
    <w:p w:rsidR="00C05C51" w:rsidRPr="007B0186" w:rsidRDefault="00C05C51" w:rsidP="00C05C51">
      <w:pPr>
        <w:keepNext/>
        <w:keepLines/>
        <w:spacing w:before="120" w:after="0" w:line="240" w:lineRule="auto"/>
        <w:jc w:val="both"/>
        <w:outlineLvl w:val="0"/>
        <w:rPr>
          <w:rFonts w:ascii="Times New Roman" w:eastAsia="Times New Roman" w:hAnsi="Times New Roman" w:cs="Times New Roman"/>
          <w:b/>
          <w:bCs/>
          <w:kern w:val="28"/>
        </w:rPr>
      </w:pPr>
      <w:proofErr w:type="spellStart"/>
      <w:r w:rsidRPr="007B0186">
        <w:rPr>
          <w:rFonts w:ascii="Times New Roman" w:eastAsia="Times New Roman" w:hAnsi="Times New Roman" w:cs="Times New Roman"/>
          <w:b/>
          <w:bCs/>
          <w:kern w:val="28"/>
        </w:rPr>
        <w:t>Pretcikliskās</w:t>
      </w:r>
      <w:proofErr w:type="spellEnd"/>
      <w:r w:rsidRPr="007B0186">
        <w:rPr>
          <w:rFonts w:ascii="Times New Roman" w:eastAsia="Times New Roman" w:hAnsi="Times New Roman" w:cs="Times New Roman"/>
          <w:b/>
          <w:bCs/>
          <w:kern w:val="28"/>
        </w:rPr>
        <w:t xml:space="preserve"> kapitāla rezerves (PKR) norma tiek noteikta 0% apmērā. Noteikto PKR normu kredītiestādes specifiskās </w:t>
      </w:r>
      <w:proofErr w:type="spellStart"/>
      <w:r w:rsidRPr="007B0186">
        <w:rPr>
          <w:rFonts w:ascii="Times New Roman" w:eastAsia="Times New Roman" w:hAnsi="Times New Roman" w:cs="Times New Roman"/>
          <w:b/>
          <w:bCs/>
          <w:kern w:val="28"/>
        </w:rPr>
        <w:t>pretcikliskās</w:t>
      </w:r>
      <w:proofErr w:type="spellEnd"/>
      <w:r w:rsidRPr="007B0186">
        <w:rPr>
          <w:rFonts w:ascii="Times New Roman" w:eastAsia="Times New Roman" w:hAnsi="Times New Roman" w:cs="Times New Roman"/>
          <w:b/>
          <w:bCs/>
          <w:kern w:val="28"/>
        </w:rPr>
        <w:t xml:space="preserve"> kapitāla rezerves aprēķinā izmanto no </w:t>
      </w:r>
      <w:r w:rsidRPr="007B0186">
        <w:rPr>
          <w:rFonts w:ascii="Times New Roman" w:eastAsia="Times New Roman" w:hAnsi="Times New Roman" w:cs="Times New Roman"/>
          <w:b/>
          <w:bCs/>
          <w:i/>
          <w:kern w:val="28"/>
        </w:rPr>
        <w:t>201</w:t>
      </w:r>
      <w:r w:rsidR="00C617C6" w:rsidRPr="007B0186">
        <w:rPr>
          <w:rFonts w:ascii="Times New Roman" w:eastAsia="Times New Roman" w:hAnsi="Times New Roman" w:cs="Times New Roman"/>
          <w:b/>
          <w:bCs/>
          <w:i/>
          <w:kern w:val="28"/>
        </w:rPr>
        <w:t>9</w:t>
      </w:r>
      <w:r w:rsidRPr="007B0186">
        <w:rPr>
          <w:rFonts w:ascii="Times New Roman" w:eastAsia="Times New Roman" w:hAnsi="Times New Roman" w:cs="Times New Roman"/>
          <w:b/>
          <w:bCs/>
          <w:i/>
          <w:kern w:val="28"/>
        </w:rPr>
        <w:t>. gada 1.</w:t>
      </w:r>
      <w:r w:rsidR="00C617C6" w:rsidRPr="007B0186">
        <w:rPr>
          <w:rFonts w:ascii="Times New Roman" w:eastAsia="Times New Roman" w:hAnsi="Times New Roman" w:cs="Times New Roman"/>
          <w:b/>
          <w:bCs/>
          <w:i/>
          <w:kern w:val="28"/>
        </w:rPr>
        <w:t>februāra</w:t>
      </w:r>
      <w:r w:rsidRPr="007B0186">
        <w:rPr>
          <w:rFonts w:ascii="Times New Roman" w:eastAsia="Times New Roman" w:hAnsi="Times New Roman" w:cs="Times New Roman"/>
          <w:b/>
          <w:bCs/>
          <w:kern w:val="28"/>
        </w:rPr>
        <w:t xml:space="preserve">. </w:t>
      </w:r>
      <w:r w:rsidR="007D02BE" w:rsidRPr="007B0186">
        <w:rPr>
          <w:rFonts w:ascii="Times New Roman" w:eastAsia="Times New Roman" w:hAnsi="Times New Roman" w:cs="Times New Roman"/>
          <w:b/>
          <w:bCs/>
          <w:kern w:val="28"/>
        </w:rPr>
        <w:t>Finanšu un kapitāla tirgus komisija (</w:t>
      </w:r>
      <w:r w:rsidR="00936D45" w:rsidRPr="007B0186">
        <w:rPr>
          <w:rFonts w:ascii="Times New Roman" w:eastAsia="Times New Roman" w:hAnsi="Times New Roman" w:cs="Times New Roman"/>
          <w:b/>
          <w:bCs/>
          <w:kern w:val="28"/>
        </w:rPr>
        <w:t>FKTK</w:t>
      </w:r>
      <w:r w:rsidR="007D02BE" w:rsidRPr="007B0186">
        <w:rPr>
          <w:rFonts w:ascii="Times New Roman" w:eastAsia="Times New Roman" w:hAnsi="Times New Roman" w:cs="Times New Roman"/>
          <w:b/>
          <w:bCs/>
          <w:kern w:val="28"/>
        </w:rPr>
        <w:t>)</w:t>
      </w:r>
      <w:r w:rsidR="00936D45" w:rsidRPr="007B0186">
        <w:rPr>
          <w:rFonts w:ascii="Times New Roman" w:eastAsia="Times New Roman" w:hAnsi="Times New Roman" w:cs="Times New Roman"/>
          <w:b/>
          <w:bCs/>
          <w:kern w:val="28"/>
        </w:rPr>
        <w:t xml:space="preserve"> lems par nepieciešamību noteikt PKR</w:t>
      </w:r>
      <w:proofErr w:type="gramStart"/>
      <w:r w:rsidR="00936D45" w:rsidRPr="007B0186">
        <w:rPr>
          <w:rFonts w:ascii="Times New Roman" w:eastAsia="Times New Roman" w:hAnsi="Times New Roman" w:cs="Times New Roman"/>
          <w:b/>
          <w:bCs/>
          <w:kern w:val="28"/>
        </w:rPr>
        <w:t xml:space="preserve"> normu apmērā virs</w:t>
      </w:r>
      <w:proofErr w:type="gramEnd"/>
      <w:r w:rsidR="00936D45" w:rsidRPr="007B0186">
        <w:rPr>
          <w:rFonts w:ascii="Times New Roman" w:eastAsia="Times New Roman" w:hAnsi="Times New Roman" w:cs="Times New Roman"/>
          <w:b/>
          <w:bCs/>
          <w:kern w:val="28"/>
        </w:rPr>
        <w:t xml:space="preserve"> 0%, ja Latvijas finanšu sektorā tiks novērots būtisks ciklisko sistēmisko risku pieaugums.</w:t>
      </w:r>
    </w:p>
    <w:p w:rsidR="00A81C4E" w:rsidRPr="00BC2EF8" w:rsidRDefault="00A81C4E" w:rsidP="00CA2374">
      <w:pPr>
        <w:keepNext/>
        <w:keepLines/>
        <w:spacing w:before="120" w:after="0" w:line="240" w:lineRule="auto"/>
        <w:jc w:val="both"/>
        <w:outlineLvl w:val="0"/>
        <w:rPr>
          <w:rFonts w:ascii="Times New Roman" w:eastAsia="Times New Roman" w:hAnsi="Times New Roman" w:cs="Times New Roman"/>
          <w:b/>
          <w:kern w:val="28"/>
          <w:sz w:val="24"/>
          <w:szCs w:val="24"/>
        </w:rPr>
      </w:pPr>
      <w:bookmarkStart w:id="1" w:name="_GoBack"/>
      <w:bookmarkEnd w:id="0"/>
      <w:bookmarkEnd w:id="1"/>
    </w:p>
    <w:p w:rsidR="004A27C0" w:rsidRPr="00AA54E2" w:rsidRDefault="004A27C0" w:rsidP="004A27C0">
      <w:pPr>
        <w:jc w:val="both"/>
        <w:rPr>
          <w:rFonts w:ascii="Times New Roman" w:hAnsi="Times New Roman" w:cs="Times New Roman"/>
        </w:rPr>
      </w:pPr>
      <w:r w:rsidRPr="00AA54E2">
        <w:rPr>
          <w:rFonts w:ascii="Times New Roman" w:hAnsi="Times New Roman" w:cs="Times New Roman"/>
        </w:rPr>
        <w:t>FKTK, kā par PKR normas noteikšanu atbildīgā iestāde, saskaņā ar KIL 35.</w:t>
      </w:r>
      <w:r w:rsidRPr="00AA54E2">
        <w:rPr>
          <w:rFonts w:ascii="Times New Roman" w:hAnsi="Times New Roman" w:cs="Times New Roman"/>
          <w:vertAlign w:val="superscript"/>
        </w:rPr>
        <w:t>5</w:t>
      </w:r>
      <w:r w:rsidRPr="00AA54E2">
        <w:rPr>
          <w:rFonts w:ascii="Times New Roman" w:hAnsi="Times New Roman" w:cs="Times New Roman"/>
        </w:rPr>
        <w:t xml:space="preserve"> pantu reizi ceturksnī analizē kredīta atlikuma un IKP attiecību, šī rādītāja novirzi no ilgtermiņa tendences, kā arī izvērtē papildus rādītājus, lai pamatotu kārtējo lēmumu par PKR normas noteikšanu.</w:t>
      </w:r>
    </w:p>
    <w:p w:rsidR="004A27C0" w:rsidRPr="00AA54E2" w:rsidRDefault="0000345E" w:rsidP="0000345E">
      <w:pPr>
        <w:jc w:val="both"/>
        <w:rPr>
          <w:rFonts w:ascii="Times New Roman" w:hAnsi="Times New Roman" w:cs="Times New Roman"/>
        </w:rPr>
      </w:pPr>
      <w:r w:rsidRPr="00AA54E2">
        <w:rPr>
          <w:rFonts w:ascii="Times New Roman" w:hAnsi="Times New Roman" w:cs="Times New Roman"/>
        </w:rPr>
        <w:t xml:space="preserve">Izmantojot "plašo" kredītu definīciju, kredīta atlikuma un IKP attiecība 2017. gada 2.ceturksnī bija 93%, bet tās novirze no ilgtermiņa tendences bija -39%, kā rezultātā PKR </w:t>
      </w:r>
      <w:proofErr w:type="spellStart"/>
      <w:r w:rsidRPr="00AA54E2">
        <w:rPr>
          <w:rFonts w:ascii="Times New Roman" w:hAnsi="Times New Roman" w:cs="Times New Roman"/>
        </w:rPr>
        <w:t>etalonnorma</w:t>
      </w:r>
      <w:proofErr w:type="spellEnd"/>
      <w:r w:rsidRPr="00AA54E2">
        <w:rPr>
          <w:rFonts w:ascii="Times New Roman" w:hAnsi="Times New Roman" w:cs="Times New Roman"/>
        </w:rPr>
        <w:t xml:space="preserve"> ir 0%. Izmantojot "šauro" kredītu definīciju, kredīta atlikuma un IKP attiecība 2017. gada 3. ceturkšņa beigās bija 41%, bet tās novirze no ilgtermiņa tendences bija -27%, kā rezultātā arī uz "šaurās" kredītu definīcijas balstītā PKR </w:t>
      </w:r>
      <w:proofErr w:type="spellStart"/>
      <w:r w:rsidRPr="00AA54E2">
        <w:rPr>
          <w:rFonts w:ascii="Times New Roman" w:hAnsi="Times New Roman" w:cs="Times New Roman"/>
        </w:rPr>
        <w:t>etalonnorma</w:t>
      </w:r>
      <w:proofErr w:type="spellEnd"/>
      <w:r w:rsidRPr="00AA54E2">
        <w:rPr>
          <w:rFonts w:ascii="Times New Roman" w:hAnsi="Times New Roman" w:cs="Times New Roman"/>
        </w:rPr>
        <w:t xml:space="preserve"> bija 0% </w:t>
      </w:r>
      <w:r w:rsidR="004A27C0" w:rsidRPr="00AA54E2">
        <w:rPr>
          <w:rFonts w:ascii="Times New Roman" w:hAnsi="Times New Roman" w:cs="Times New Roman"/>
        </w:rPr>
        <w:t>(skat. attēlu).</w:t>
      </w:r>
    </w:p>
    <w:p w:rsidR="004A27C0" w:rsidRPr="007B0186" w:rsidRDefault="004A27C0" w:rsidP="004A27C0">
      <w:pPr>
        <w:jc w:val="both"/>
        <w:rPr>
          <w:rFonts w:ascii="Times New Roman" w:hAnsi="Times New Roman" w:cs="Times New Roman"/>
          <w:i/>
          <w:iCs/>
        </w:rPr>
      </w:pPr>
      <w:r w:rsidRPr="007B0186">
        <w:rPr>
          <w:rFonts w:ascii="Times New Roman" w:hAnsi="Times New Roman" w:cs="Times New Roman"/>
          <w:i/>
          <w:iCs/>
        </w:rPr>
        <w:t xml:space="preserve">Kredīta atlikuma un IKP attiecība, tās novirze no ilgtermiņa tendences un PKR </w:t>
      </w:r>
      <w:proofErr w:type="spellStart"/>
      <w:r w:rsidRPr="007B0186">
        <w:rPr>
          <w:rFonts w:ascii="Times New Roman" w:hAnsi="Times New Roman" w:cs="Times New Roman"/>
          <w:i/>
          <w:iCs/>
        </w:rPr>
        <w:t>etalonnorma</w:t>
      </w:r>
      <w:proofErr w:type="spellEnd"/>
      <w:r w:rsidRPr="007B0186">
        <w:rPr>
          <w:rFonts w:ascii="Times New Roman" w:hAnsi="Times New Roman" w:cs="Times New Roman"/>
          <w:i/>
          <w:iCs/>
        </w:rPr>
        <w:t>, izmantojot "šauro" kredītu definīcij</w:t>
      </w:r>
      <w:r w:rsidR="00E84344" w:rsidRPr="007B0186">
        <w:rPr>
          <w:rFonts w:ascii="Times New Roman" w:hAnsi="Times New Roman" w:cs="Times New Roman"/>
          <w:i/>
          <w:iCs/>
        </w:rPr>
        <w:t>u</w:t>
      </w:r>
    </w:p>
    <w:p w:rsidR="004A27C0" w:rsidRPr="004A27C0" w:rsidRDefault="009044ED" w:rsidP="004A27C0">
      <w:pPr>
        <w:jc w:val="both"/>
        <w:rPr>
          <w:rFonts w:ascii="Times New Roman" w:hAnsi="Times New Roman" w:cs="Times New Roman"/>
          <w:sz w:val="24"/>
          <w:szCs w:val="24"/>
        </w:rPr>
      </w:pPr>
      <w:r>
        <w:rPr>
          <w:noProof/>
          <w:lang w:eastAsia="lv-LV"/>
        </w:rPr>
        <w:drawing>
          <wp:inline distT="0" distB="0" distL="0" distR="0" wp14:anchorId="2A14F2C4" wp14:editId="00B213C3">
            <wp:extent cx="5274310" cy="3467370"/>
            <wp:effectExtent l="0" t="0" r="0" b="0"/>
            <wp:docPr id="6" name="Chart 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 xmlns:xdr="http://schemas.openxmlformats.org/drawingml/2006/spreadsheetDrawing" xmlns:a16="http://schemas.microsoft.com/office/drawing/2014/main" xmlns:lc="http://schemas.openxmlformats.org/drawingml/2006/lockedCanvas"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25E99" w:rsidRPr="00E25E99" w:rsidRDefault="00E25E99" w:rsidP="00E25E99">
      <w:pPr>
        <w:jc w:val="both"/>
        <w:rPr>
          <w:rFonts w:ascii="Times New Roman" w:hAnsi="Times New Roman" w:cs="Times New Roman"/>
        </w:rPr>
      </w:pPr>
      <w:r w:rsidRPr="00E25E99">
        <w:rPr>
          <w:rFonts w:ascii="Times New Roman" w:hAnsi="Times New Roman" w:cs="Times New Roman"/>
        </w:rPr>
        <w:t xml:space="preserve">2017. gadā Latvijas ekonomikas sniegums pārsniedza gada sākumā veiktās prognozes. Aktuālā IKP pieauguma prognoze 2017. gadam palielināta līdz 4.2%. Pieaugums ir vērojams praktiski visās tautsaimniecības nozarēs. Spēcīgāks pasaules, t.sk. Eiropas Savienības, ārējais pieprasījums veicina eksportējošo nozaru, t.sk. apstrādes nozares, un transporta pieaugumu. Būvniecību un ar to saistīto nozaru izaugsmi veicina privātās investīcijas un ES fondu līdzekļu raitāka apguve. Savukārt mājsaimniecību ienākumu pieaugums atbalsta privāto patēriņu. </w:t>
      </w:r>
    </w:p>
    <w:p w:rsidR="00E25E99" w:rsidRPr="00E25E99" w:rsidRDefault="00E25E99" w:rsidP="00E25E99">
      <w:pPr>
        <w:jc w:val="both"/>
        <w:rPr>
          <w:rFonts w:ascii="Times New Roman" w:hAnsi="Times New Roman" w:cs="Times New Roman"/>
        </w:rPr>
      </w:pPr>
      <w:r w:rsidRPr="00E25E99">
        <w:rPr>
          <w:rFonts w:ascii="Times New Roman" w:hAnsi="Times New Roman" w:cs="Times New Roman"/>
        </w:rPr>
        <w:lastRenderedPageBreak/>
        <w:t xml:space="preserve">Neskatoties uz uzlabojušos </w:t>
      </w:r>
      <w:proofErr w:type="spellStart"/>
      <w:r w:rsidRPr="00E25E99">
        <w:rPr>
          <w:rFonts w:ascii="Times New Roman" w:hAnsi="Times New Roman" w:cs="Times New Roman"/>
        </w:rPr>
        <w:t>makrofinansiālo</w:t>
      </w:r>
      <w:proofErr w:type="spellEnd"/>
      <w:r w:rsidRPr="00E25E99">
        <w:rPr>
          <w:rFonts w:ascii="Times New Roman" w:hAnsi="Times New Roman" w:cs="Times New Roman"/>
        </w:rPr>
        <w:t xml:space="preserve"> situāciju, noturīgs kreditēšanas pieaugums pagaidām nav novērojams. 2016. gada otrajā pusgadā un 2017. gada sākumā novērotais nefinanšu sabiedrībām izsniegtā kredītportfeļa atlikuma mērens pieaugums ir apstājies un 2017. gada septembrī pat uzrādīja 4.7% kritumu (pret iepriekšējā gada septembri). Taču, jāatzīmē, ka to ietekmēja vienreizējs faktors, kas saistīts ar banku apvienošanās procesu un daļas kredītportfeļa nodošanu mātes bankai. Izslēdzot šī procesa ietekmi gada pieauguma temps iekšzemes uzņēmumu kredītportfelim būtu aptuveni 0.3%. Savukārt mājsaimniecībām izsniegto kredītu atlikums 2017.gada septembrī uzrāda 0.4% gada samazinājumu. Kreditēšanas pieaugumu joprojām ierobežo gan pieprasījuma (īpaši attiecībā uz lieliem uzņēmumiem), gan piedāvājuma (īpaši attiecībā uz maziem un vidējiem uzņēmumiem) faktori. Lai gan ir novērojamas atsevišķas nelielas kredītu standartu vājināšanas pazīmes hipotekāriem kredītiem mājsaimniecībām, kopumā 3. ceturksnī kredītu standarti lielākoties saglabājās nemainīgi un joprojām samērā stingri. Mājsaimniecību pieprasījums pēc kredītiem turpina nedaudz palielināties, savukārt nefinanšu sabiedrību pieprasījums kopumā nav mainījies, lielo uzņēmumu pieprasījumam mazinoties, bet mazo un vidējo uzņēmumu pieprasījumam pieaugot.</w:t>
      </w:r>
      <w:proofErr w:type="gramStart"/>
      <w:r w:rsidRPr="00E25E99">
        <w:rPr>
          <w:rFonts w:ascii="Times New Roman" w:hAnsi="Times New Roman" w:cs="Times New Roman"/>
        </w:rPr>
        <w:t xml:space="preserve">  </w:t>
      </w:r>
      <w:proofErr w:type="gramEnd"/>
    </w:p>
    <w:p w:rsidR="00E25E99" w:rsidRPr="00E25E99" w:rsidRDefault="00E25E99" w:rsidP="00E25E99">
      <w:pPr>
        <w:jc w:val="both"/>
        <w:rPr>
          <w:rFonts w:ascii="Times New Roman" w:hAnsi="Times New Roman" w:cs="Times New Roman"/>
        </w:rPr>
      </w:pPr>
      <w:r w:rsidRPr="00E25E99">
        <w:rPr>
          <w:rFonts w:ascii="Times New Roman" w:hAnsi="Times New Roman" w:cs="Times New Roman"/>
        </w:rPr>
        <w:t>Mājokļu cenu gada pieauguma temps joprojām ir augsts, sasniedzot 9.6% 2017. gada 2. ceturkšņa beigās. Tomēr jāatzīmē, ka šo cenu indeksu nosaka joprojām salīdzinoši neliels tirgus apgrozījums. Aktivitāte nekustamā īpašuma tirgū salīdzinot ar 2016. gadu ir pierimusi, un kopumā darījumu skaita ziņā saglabājas par 30% zemākā līmenī nekā pirms 2008. gada krīzes. Mājokļu cenu indeksa pieaugumu galvenokārt nosaka cenu pieaugums lietoto (nevis jauno) dzīvokļu segmentā, kas varētu būt skaidrojams ar augošo pieprasījumu pēc lētākiem mājokļiem, un šādu mājokļu ierobežoto piedāvājumu. Mājokļu cenu dinamiku ietekmē mājsaimniecību noskaņojuma un finansiālās situācijas uzlabojums, samazinoties to parāda slogam un pieaugot darba samaksai praktiski visās tautsaimniecības nozarēs, kā arī kredītu pieejamības uzlabojums saistībā ar valsts palīdzības programmu dzīvojamās telpas iegādei vai būvniecībai ģimenēm ar bērniem. Šī programma, kas uzsākta 2014. gadā, atvieglo iespēju ģimenēm ar bērniem nodrošināt pirmo iemaksu kredītam, saņemot valsts galvojumu. Galvojuma apmērs 10-20% apmērā ir ierobežots un atkarīgs no bērnu skaita ģimenē. Šīs programmas ietvaros izsniegto hipotekāro aizdevumu apjoms veido aptuveni trešdaļu no visiem mājokļa iegādei no jauna izsniegtajiem kredītiem, un šīs programmas loma nekustamā īpašuma tirgū un kreditēšanā vairs nepalielinās. Taču no 2018. gada stājās spēkā grozījumi programmā, paplašinot mājsaimniecību loku, kas var šai programmai pieteikties. Līdz ar to 2018. gadā</w:t>
      </w:r>
      <w:proofErr w:type="gramStart"/>
      <w:r w:rsidRPr="00E25E99">
        <w:rPr>
          <w:rFonts w:ascii="Times New Roman" w:hAnsi="Times New Roman" w:cs="Times New Roman"/>
        </w:rPr>
        <w:t xml:space="preserve">  </w:t>
      </w:r>
      <w:proofErr w:type="gramEnd"/>
      <w:r w:rsidRPr="00E25E99">
        <w:rPr>
          <w:rFonts w:ascii="Times New Roman" w:hAnsi="Times New Roman" w:cs="Times New Roman"/>
        </w:rPr>
        <w:t xml:space="preserve">tiek prognozēts nekustamā īpašuma pirkumu skaita pieaugums. </w:t>
      </w:r>
    </w:p>
    <w:p w:rsidR="00E25E99" w:rsidRPr="00E25E99" w:rsidRDefault="00E25E99" w:rsidP="00E25E99">
      <w:pPr>
        <w:jc w:val="both"/>
        <w:rPr>
          <w:rFonts w:ascii="Times New Roman" w:hAnsi="Times New Roman" w:cs="Times New Roman"/>
        </w:rPr>
      </w:pPr>
      <w:r w:rsidRPr="00E25E99">
        <w:rPr>
          <w:rFonts w:ascii="Times New Roman" w:hAnsi="Times New Roman" w:cs="Times New Roman"/>
        </w:rPr>
        <w:t xml:space="preserve">Tuvākajā un vidējā nākotnē stabilitātes riski Latvijas finanšu sektoram galvenokārt izceļas ārējā, nevis iekšējā </w:t>
      </w:r>
      <w:proofErr w:type="spellStart"/>
      <w:r w:rsidRPr="00E25E99">
        <w:rPr>
          <w:rFonts w:ascii="Times New Roman" w:hAnsi="Times New Roman" w:cs="Times New Roman"/>
        </w:rPr>
        <w:t>makrofinansiālajā</w:t>
      </w:r>
      <w:proofErr w:type="spellEnd"/>
      <w:r w:rsidRPr="00E25E99">
        <w:rPr>
          <w:rFonts w:ascii="Times New Roman" w:hAnsi="Times New Roman" w:cs="Times New Roman"/>
        </w:rPr>
        <w:t xml:space="preserve"> vidē, un tie ir saistīti ar Latvijas ekonomikas atvērtību, starptautiskiem un ģeopolitiskiem riskiem, kā arī iespējamiem šokiem Skandināvijas valstu nekustamā īpašuma tirgos. </w:t>
      </w:r>
    </w:p>
    <w:p w:rsidR="00E25E99" w:rsidRPr="00E25E99" w:rsidRDefault="00E25E99" w:rsidP="00E25E99">
      <w:pPr>
        <w:jc w:val="both"/>
        <w:rPr>
          <w:rFonts w:ascii="Times New Roman" w:hAnsi="Times New Roman" w:cs="Times New Roman"/>
        </w:rPr>
      </w:pPr>
      <w:r w:rsidRPr="00E25E99">
        <w:rPr>
          <w:rFonts w:ascii="Times New Roman" w:hAnsi="Times New Roman" w:cs="Times New Roman"/>
        </w:rPr>
        <w:t>Kopumā, 2017. gadā novērojamā ekonomiskā izaugsme notiek bez aktīvas kredītiestāžu iesaistes un rādītāji neliecina par pārmērīgu finanšu nesabalansētību akumulēšanos un nepieciešamību noteikt PKR normu virs 0%. Komisija turpinās analizēt attiecīgos rādītājus un tendences, lemjot par PKR normas noteikšanu turpmākajos ceturkšņos. </w:t>
      </w:r>
      <w:r w:rsidRPr="00E25E99">
        <w:rPr>
          <w:rFonts w:ascii="Times New Roman" w:hAnsi="Times New Roman" w:cs="Times New Roman"/>
          <w:iCs/>
        </w:rPr>
        <w:t>Komisija lems par nepieciešamību noteikt PKR normu apmērā virs 0%, ja Latvijas finanšu sektorā tiks novērots būtisks ciklisko sistēmisko risku pieaugums.</w:t>
      </w:r>
      <w:proofErr w:type="gramStart"/>
      <w:r w:rsidRPr="00E25E99">
        <w:rPr>
          <w:rFonts w:ascii="Times New Roman" w:hAnsi="Times New Roman" w:cs="Times New Roman"/>
          <w:iCs/>
        </w:rPr>
        <w:t xml:space="preserve">  </w:t>
      </w:r>
      <w:proofErr w:type="gramEnd"/>
    </w:p>
    <w:p w:rsidR="00E25E99" w:rsidRPr="00E25E99" w:rsidRDefault="00E25E99" w:rsidP="00E25E99">
      <w:pPr>
        <w:jc w:val="both"/>
        <w:rPr>
          <w:rFonts w:ascii="Times New Roman" w:hAnsi="Times New Roman" w:cs="Times New Roman"/>
        </w:rPr>
      </w:pPr>
    </w:p>
    <w:p w:rsidR="00A3730D" w:rsidRPr="008E4105" w:rsidRDefault="00A3730D" w:rsidP="00BF1FBC">
      <w:pPr>
        <w:jc w:val="both"/>
        <w:rPr>
          <w:rFonts w:ascii="Times New Roman" w:hAnsi="Times New Roman" w:cs="Times New Roman"/>
        </w:rPr>
      </w:pPr>
    </w:p>
    <w:sectPr w:rsidR="00A3730D" w:rsidRPr="008E4105" w:rsidSect="00812F55">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566A" w:rsidRDefault="00DA566A" w:rsidP="0032368D">
      <w:pPr>
        <w:spacing w:after="0" w:line="240" w:lineRule="auto"/>
      </w:pPr>
      <w:r>
        <w:separator/>
      </w:r>
    </w:p>
  </w:endnote>
  <w:endnote w:type="continuationSeparator" w:id="0">
    <w:p w:rsidR="00DA566A" w:rsidRDefault="00DA566A" w:rsidP="003236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566A" w:rsidRDefault="00DA566A" w:rsidP="0032368D">
      <w:pPr>
        <w:spacing w:after="0" w:line="240" w:lineRule="auto"/>
      </w:pPr>
      <w:r>
        <w:separator/>
      </w:r>
    </w:p>
  </w:footnote>
  <w:footnote w:type="continuationSeparator" w:id="0">
    <w:p w:rsidR="00DA566A" w:rsidRDefault="00DA566A" w:rsidP="0032368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68D"/>
    <w:rsid w:val="0000345E"/>
    <w:rsid w:val="000219CE"/>
    <w:rsid w:val="00033609"/>
    <w:rsid w:val="000416B6"/>
    <w:rsid w:val="00056361"/>
    <w:rsid w:val="00074564"/>
    <w:rsid w:val="000760CC"/>
    <w:rsid w:val="0007732A"/>
    <w:rsid w:val="0008428A"/>
    <w:rsid w:val="00092FAB"/>
    <w:rsid w:val="000B500D"/>
    <w:rsid w:val="000C4CF1"/>
    <w:rsid w:val="000C5528"/>
    <w:rsid w:val="000D0CFE"/>
    <w:rsid w:val="001107C9"/>
    <w:rsid w:val="00151AC3"/>
    <w:rsid w:val="0015490A"/>
    <w:rsid w:val="00174F2D"/>
    <w:rsid w:val="0019182F"/>
    <w:rsid w:val="00196BE7"/>
    <w:rsid w:val="001B1DB2"/>
    <w:rsid w:val="001B2BC2"/>
    <w:rsid w:val="001B3A24"/>
    <w:rsid w:val="001B4A29"/>
    <w:rsid w:val="001C4A4B"/>
    <w:rsid w:val="001D7A88"/>
    <w:rsid w:val="001D7E5E"/>
    <w:rsid w:val="001E4DEF"/>
    <w:rsid w:val="001E5B20"/>
    <w:rsid w:val="001E631C"/>
    <w:rsid w:val="001F0D5B"/>
    <w:rsid w:val="001F3CBB"/>
    <w:rsid w:val="001F7184"/>
    <w:rsid w:val="00200585"/>
    <w:rsid w:val="00211C78"/>
    <w:rsid w:val="002204A7"/>
    <w:rsid w:val="0025420C"/>
    <w:rsid w:val="0025718E"/>
    <w:rsid w:val="00257798"/>
    <w:rsid w:val="002578B4"/>
    <w:rsid w:val="002774E0"/>
    <w:rsid w:val="00282D6E"/>
    <w:rsid w:val="002A37B2"/>
    <w:rsid w:val="002A6B0A"/>
    <w:rsid w:val="002B0DEE"/>
    <w:rsid w:val="002C0998"/>
    <w:rsid w:val="002C17C8"/>
    <w:rsid w:val="002D0028"/>
    <w:rsid w:val="002D66B5"/>
    <w:rsid w:val="002D763E"/>
    <w:rsid w:val="002E2D88"/>
    <w:rsid w:val="002E458C"/>
    <w:rsid w:val="002F0E6B"/>
    <w:rsid w:val="002F2C6A"/>
    <w:rsid w:val="0030576F"/>
    <w:rsid w:val="0031554E"/>
    <w:rsid w:val="00317341"/>
    <w:rsid w:val="0032368D"/>
    <w:rsid w:val="00327AF2"/>
    <w:rsid w:val="00336DFF"/>
    <w:rsid w:val="00347BD8"/>
    <w:rsid w:val="003522C3"/>
    <w:rsid w:val="00373687"/>
    <w:rsid w:val="003811B7"/>
    <w:rsid w:val="003833D9"/>
    <w:rsid w:val="003869BE"/>
    <w:rsid w:val="003950AB"/>
    <w:rsid w:val="003A1C21"/>
    <w:rsid w:val="003A71F7"/>
    <w:rsid w:val="003A788B"/>
    <w:rsid w:val="003C0C57"/>
    <w:rsid w:val="003C4CFB"/>
    <w:rsid w:val="003C6059"/>
    <w:rsid w:val="003C7C63"/>
    <w:rsid w:val="003D03F5"/>
    <w:rsid w:val="003D464B"/>
    <w:rsid w:val="003D54E7"/>
    <w:rsid w:val="003F243B"/>
    <w:rsid w:val="004058BC"/>
    <w:rsid w:val="00410BF9"/>
    <w:rsid w:val="00413C37"/>
    <w:rsid w:val="00427AFE"/>
    <w:rsid w:val="0044271E"/>
    <w:rsid w:val="004458CB"/>
    <w:rsid w:val="0046415C"/>
    <w:rsid w:val="00471FDD"/>
    <w:rsid w:val="004802E1"/>
    <w:rsid w:val="00483487"/>
    <w:rsid w:val="004A27C0"/>
    <w:rsid w:val="004A6195"/>
    <w:rsid w:val="004A6271"/>
    <w:rsid w:val="004D2A61"/>
    <w:rsid w:val="004D5F26"/>
    <w:rsid w:val="004E4EFF"/>
    <w:rsid w:val="004E598C"/>
    <w:rsid w:val="004F57E6"/>
    <w:rsid w:val="004F663E"/>
    <w:rsid w:val="0050101D"/>
    <w:rsid w:val="005039A2"/>
    <w:rsid w:val="00505E20"/>
    <w:rsid w:val="00512D34"/>
    <w:rsid w:val="0051567D"/>
    <w:rsid w:val="005530EC"/>
    <w:rsid w:val="005557E7"/>
    <w:rsid w:val="00575728"/>
    <w:rsid w:val="005809B2"/>
    <w:rsid w:val="00584828"/>
    <w:rsid w:val="00594104"/>
    <w:rsid w:val="00597727"/>
    <w:rsid w:val="005B43FD"/>
    <w:rsid w:val="005B5A65"/>
    <w:rsid w:val="005B6F2D"/>
    <w:rsid w:val="005C192C"/>
    <w:rsid w:val="005C5BE4"/>
    <w:rsid w:val="005E27EE"/>
    <w:rsid w:val="005F22B5"/>
    <w:rsid w:val="005F5E68"/>
    <w:rsid w:val="005F6B02"/>
    <w:rsid w:val="005F6B51"/>
    <w:rsid w:val="0060248D"/>
    <w:rsid w:val="00603E26"/>
    <w:rsid w:val="00611E90"/>
    <w:rsid w:val="00626D69"/>
    <w:rsid w:val="00647385"/>
    <w:rsid w:val="006506BC"/>
    <w:rsid w:val="00650A3F"/>
    <w:rsid w:val="006852AB"/>
    <w:rsid w:val="0068695B"/>
    <w:rsid w:val="00694A1E"/>
    <w:rsid w:val="006A2EA8"/>
    <w:rsid w:val="006A5D61"/>
    <w:rsid w:val="006F3C5A"/>
    <w:rsid w:val="007054B6"/>
    <w:rsid w:val="007101E0"/>
    <w:rsid w:val="007135B6"/>
    <w:rsid w:val="00722FBC"/>
    <w:rsid w:val="00732145"/>
    <w:rsid w:val="0075295B"/>
    <w:rsid w:val="00755306"/>
    <w:rsid w:val="007711FA"/>
    <w:rsid w:val="00786278"/>
    <w:rsid w:val="007A06E9"/>
    <w:rsid w:val="007A2552"/>
    <w:rsid w:val="007A3364"/>
    <w:rsid w:val="007A6003"/>
    <w:rsid w:val="007B0186"/>
    <w:rsid w:val="007B18EE"/>
    <w:rsid w:val="007B5C91"/>
    <w:rsid w:val="007B6DE4"/>
    <w:rsid w:val="007B70B4"/>
    <w:rsid w:val="007C062F"/>
    <w:rsid w:val="007D02BE"/>
    <w:rsid w:val="007D0F9E"/>
    <w:rsid w:val="007D4B90"/>
    <w:rsid w:val="007F0B1F"/>
    <w:rsid w:val="007F27EB"/>
    <w:rsid w:val="007F43A8"/>
    <w:rsid w:val="008018ED"/>
    <w:rsid w:val="00803B31"/>
    <w:rsid w:val="008045C6"/>
    <w:rsid w:val="0080796D"/>
    <w:rsid w:val="00812F55"/>
    <w:rsid w:val="008153A2"/>
    <w:rsid w:val="00823AC7"/>
    <w:rsid w:val="00827011"/>
    <w:rsid w:val="0083262F"/>
    <w:rsid w:val="0086001F"/>
    <w:rsid w:val="00883B9E"/>
    <w:rsid w:val="008971A7"/>
    <w:rsid w:val="008A2AD7"/>
    <w:rsid w:val="008C4114"/>
    <w:rsid w:val="008E4105"/>
    <w:rsid w:val="008F031D"/>
    <w:rsid w:val="00900A60"/>
    <w:rsid w:val="009036F8"/>
    <w:rsid w:val="009044ED"/>
    <w:rsid w:val="00906956"/>
    <w:rsid w:val="009107FF"/>
    <w:rsid w:val="0091533F"/>
    <w:rsid w:val="0092200A"/>
    <w:rsid w:val="00932616"/>
    <w:rsid w:val="00936D45"/>
    <w:rsid w:val="009654B7"/>
    <w:rsid w:val="00970803"/>
    <w:rsid w:val="00970B53"/>
    <w:rsid w:val="00973D6F"/>
    <w:rsid w:val="00990449"/>
    <w:rsid w:val="00997CAD"/>
    <w:rsid w:val="009A5CAC"/>
    <w:rsid w:val="009B053B"/>
    <w:rsid w:val="009D133E"/>
    <w:rsid w:val="009D5592"/>
    <w:rsid w:val="009D5C3F"/>
    <w:rsid w:val="009E69AE"/>
    <w:rsid w:val="009F4B08"/>
    <w:rsid w:val="009F6D73"/>
    <w:rsid w:val="00A066A5"/>
    <w:rsid w:val="00A06DCF"/>
    <w:rsid w:val="00A111D3"/>
    <w:rsid w:val="00A343F8"/>
    <w:rsid w:val="00A37284"/>
    <w:rsid w:val="00A3730D"/>
    <w:rsid w:val="00A460F4"/>
    <w:rsid w:val="00A60AD7"/>
    <w:rsid w:val="00A63FA3"/>
    <w:rsid w:val="00A73D5F"/>
    <w:rsid w:val="00A81C4E"/>
    <w:rsid w:val="00A96FD2"/>
    <w:rsid w:val="00AA54E2"/>
    <w:rsid w:val="00AB0804"/>
    <w:rsid w:val="00AB7D3C"/>
    <w:rsid w:val="00AC3B42"/>
    <w:rsid w:val="00AC5314"/>
    <w:rsid w:val="00AD0F9A"/>
    <w:rsid w:val="00AD0FED"/>
    <w:rsid w:val="00AD4BAB"/>
    <w:rsid w:val="00AE237D"/>
    <w:rsid w:val="00AF1886"/>
    <w:rsid w:val="00AF5A22"/>
    <w:rsid w:val="00AF66DD"/>
    <w:rsid w:val="00B131EB"/>
    <w:rsid w:val="00B14758"/>
    <w:rsid w:val="00B228F2"/>
    <w:rsid w:val="00B340E6"/>
    <w:rsid w:val="00B35AC6"/>
    <w:rsid w:val="00B45EF2"/>
    <w:rsid w:val="00B57DE1"/>
    <w:rsid w:val="00B7762B"/>
    <w:rsid w:val="00B933DE"/>
    <w:rsid w:val="00B94FA0"/>
    <w:rsid w:val="00BC2EF8"/>
    <w:rsid w:val="00BC61BA"/>
    <w:rsid w:val="00BD4B42"/>
    <w:rsid w:val="00BD6400"/>
    <w:rsid w:val="00BE4CD6"/>
    <w:rsid w:val="00BE6527"/>
    <w:rsid w:val="00BF1FBC"/>
    <w:rsid w:val="00BF4770"/>
    <w:rsid w:val="00C05C51"/>
    <w:rsid w:val="00C51304"/>
    <w:rsid w:val="00C617C6"/>
    <w:rsid w:val="00C63EB1"/>
    <w:rsid w:val="00C7742A"/>
    <w:rsid w:val="00CA2374"/>
    <w:rsid w:val="00CB0996"/>
    <w:rsid w:val="00CB0997"/>
    <w:rsid w:val="00CB1528"/>
    <w:rsid w:val="00CB6ADE"/>
    <w:rsid w:val="00CC708A"/>
    <w:rsid w:val="00CC7720"/>
    <w:rsid w:val="00D03E0C"/>
    <w:rsid w:val="00D07221"/>
    <w:rsid w:val="00D121EA"/>
    <w:rsid w:val="00D225CA"/>
    <w:rsid w:val="00D32F4B"/>
    <w:rsid w:val="00D336FE"/>
    <w:rsid w:val="00D43F90"/>
    <w:rsid w:val="00D47D17"/>
    <w:rsid w:val="00D5033E"/>
    <w:rsid w:val="00D52888"/>
    <w:rsid w:val="00D804C6"/>
    <w:rsid w:val="00DA22B5"/>
    <w:rsid w:val="00DA566A"/>
    <w:rsid w:val="00DB4787"/>
    <w:rsid w:val="00DB689E"/>
    <w:rsid w:val="00DC2C50"/>
    <w:rsid w:val="00DC3C4B"/>
    <w:rsid w:val="00DC5BC8"/>
    <w:rsid w:val="00DD1268"/>
    <w:rsid w:val="00DD45B1"/>
    <w:rsid w:val="00DD7B69"/>
    <w:rsid w:val="00DE2350"/>
    <w:rsid w:val="00DF45EE"/>
    <w:rsid w:val="00E11FC9"/>
    <w:rsid w:val="00E20ACF"/>
    <w:rsid w:val="00E20F38"/>
    <w:rsid w:val="00E22DC2"/>
    <w:rsid w:val="00E25E99"/>
    <w:rsid w:val="00E361A8"/>
    <w:rsid w:val="00E479DE"/>
    <w:rsid w:val="00E6384B"/>
    <w:rsid w:val="00E6583E"/>
    <w:rsid w:val="00E72ACD"/>
    <w:rsid w:val="00E76600"/>
    <w:rsid w:val="00E84344"/>
    <w:rsid w:val="00E9170F"/>
    <w:rsid w:val="00E9329D"/>
    <w:rsid w:val="00EA38B7"/>
    <w:rsid w:val="00EA39EE"/>
    <w:rsid w:val="00ED2B36"/>
    <w:rsid w:val="00ED4E21"/>
    <w:rsid w:val="00EE1537"/>
    <w:rsid w:val="00EE74AB"/>
    <w:rsid w:val="00F40422"/>
    <w:rsid w:val="00F42D02"/>
    <w:rsid w:val="00F4649E"/>
    <w:rsid w:val="00F511EA"/>
    <w:rsid w:val="00F62F5E"/>
    <w:rsid w:val="00F70483"/>
    <w:rsid w:val="00F75EF8"/>
    <w:rsid w:val="00F83F56"/>
    <w:rsid w:val="00F83F5F"/>
    <w:rsid w:val="00F85351"/>
    <w:rsid w:val="00FA2263"/>
    <w:rsid w:val="00FC3E17"/>
    <w:rsid w:val="00FC6C58"/>
    <w:rsid w:val="00FD2440"/>
    <w:rsid w:val="00FF0A2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236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368D"/>
    <w:rPr>
      <w:sz w:val="20"/>
      <w:szCs w:val="20"/>
    </w:rPr>
  </w:style>
  <w:style w:type="character" w:styleId="FootnoteReference">
    <w:name w:val="footnote reference"/>
    <w:rsid w:val="0032368D"/>
    <w:rPr>
      <w:rFonts w:cs="Times New Roman"/>
      <w:vertAlign w:val="superscript"/>
    </w:rPr>
  </w:style>
  <w:style w:type="paragraph" w:styleId="BalloonText">
    <w:name w:val="Balloon Text"/>
    <w:basedOn w:val="Normal"/>
    <w:link w:val="BalloonTextChar"/>
    <w:uiPriority w:val="99"/>
    <w:semiHidden/>
    <w:unhideWhenUsed/>
    <w:rsid w:val="00DC5B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BC8"/>
    <w:rPr>
      <w:rFonts w:ascii="Tahoma" w:hAnsi="Tahoma" w:cs="Tahoma"/>
      <w:sz w:val="16"/>
      <w:szCs w:val="16"/>
    </w:rPr>
  </w:style>
  <w:style w:type="character" w:styleId="CommentReference">
    <w:name w:val="annotation reference"/>
    <w:basedOn w:val="DefaultParagraphFont"/>
    <w:uiPriority w:val="99"/>
    <w:semiHidden/>
    <w:unhideWhenUsed/>
    <w:rsid w:val="0030576F"/>
    <w:rPr>
      <w:sz w:val="16"/>
      <w:szCs w:val="16"/>
    </w:rPr>
  </w:style>
  <w:style w:type="paragraph" w:styleId="CommentText">
    <w:name w:val="annotation text"/>
    <w:basedOn w:val="Normal"/>
    <w:link w:val="CommentTextChar"/>
    <w:uiPriority w:val="99"/>
    <w:semiHidden/>
    <w:unhideWhenUsed/>
    <w:rsid w:val="0030576F"/>
    <w:pPr>
      <w:spacing w:line="240" w:lineRule="auto"/>
    </w:pPr>
    <w:rPr>
      <w:sz w:val="20"/>
      <w:szCs w:val="20"/>
    </w:rPr>
  </w:style>
  <w:style w:type="character" w:customStyle="1" w:styleId="CommentTextChar">
    <w:name w:val="Comment Text Char"/>
    <w:basedOn w:val="DefaultParagraphFont"/>
    <w:link w:val="CommentText"/>
    <w:uiPriority w:val="99"/>
    <w:semiHidden/>
    <w:rsid w:val="0030576F"/>
    <w:rPr>
      <w:sz w:val="20"/>
      <w:szCs w:val="20"/>
    </w:rPr>
  </w:style>
  <w:style w:type="paragraph" w:styleId="CommentSubject">
    <w:name w:val="annotation subject"/>
    <w:basedOn w:val="CommentText"/>
    <w:next w:val="CommentText"/>
    <w:link w:val="CommentSubjectChar"/>
    <w:uiPriority w:val="99"/>
    <w:semiHidden/>
    <w:unhideWhenUsed/>
    <w:rsid w:val="0030576F"/>
    <w:rPr>
      <w:b/>
      <w:bCs/>
    </w:rPr>
  </w:style>
  <w:style w:type="character" w:customStyle="1" w:styleId="CommentSubjectChar">
    <w:name w:val="Comment Subject Char"/>
    <w:basedOn w:val="CommentTextChar"/>
    <w:link w:val="CommentSubject"/>
    <w:uiPriority w:val="99"/>
    <w:semiHidden/>
    <w:rsid w:val="0030576F"/>
    <w:rPr>
      <w:b/>
      <w:bCs/>
      <w:sz w:val="20"/>
      <w:szCs w:val="20"/>
    </w:rPr>
  </w:style>
  <w:style w:type="paragraph" w:styleId="Revision">
    <w:name w:val="Revision"/>
    <w:hidden/>
    <w:uiPriority w:val="99"/>
    <w:semiHidden/>
    <w:rsid w:val="002204A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236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368D"/>
    <w:rPr>
      <w:sz w:val="20"/>
      <w:szCs w:val="20"/>
    </w:rPr>
  </w:style>
  <w:style w:type="character" w:styleId="FootnoteReference">
    <w:name w:val="footnote reference"/>
    <w:rsid w:val="0032368D"/>
    <w:rPr>
      <w:rFonts w:cs="Times New Roman"/>
      <w:vertAlign w:val="superscript"/>
    </w:rPr>
  </w:style>
  <w:style w:type="paragraph" w:styleId="BalloonText">
    <w:name w:val="Balloon Text"/>
    <w:basedOn w:val="Normal"/>
    <w:link w:val="BalloonTextChar"/>
    <w:uiPriority w:val="99"/>
    <w:semiHidden/>
    <w:unhideWhenUsed/>
    <w:rsid w:val="00DC5B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BC8"/>
    <w:rPr>
      <w:rFonts w:ascii="Tahoma" w:hAnsi="Tahoma" w:cs="Tahoma"/>
      <w:sz w:val="16"/>
      <w:szCs w:val="16"/>
    </w:rPr>
  </w:style>
  <w:style w:type="character" w:styleId="CommentReference">
    <w:name w:val="annotation reference"/>
    <w:basedOn w:val="DefaultParagraphFont"/>
    <w:uiPriority w:val="99"/>
    <w:semiHidden/>
    <w:unhideWhenUsed/>
    <w:rsid w:val="0030576F"/>
    <w:rPr>
      <w:sz w:val="16"/>
      <w:szCs w:val="16"/>
    </w:rPr>
  </w:style>
  <w:style w:type="paragraph" w:styleId="CommentText">
    <w:name w:val="annotation text"/>
    <w:basedOn w:val="Normal"/>
    <w:link w:val="CommentTextChar"/>
    <w:uiPriority w:val="99"/>
    <w:semiHidden/>
    <w:unhideWhenUsed/>
    <w:rsid w:val="0030576F"/>
    <w:pPr>
      <w:spacing w:line="240" w:lineRule="auto"/>
    </w:pPr>
    <w:rPr>
      <w:sz w:val="20"/>
      <w:szCs w:val="20"/>
    </w:rPr>
  </w:style>
  <w:style w:type="character" w:customStyle="1" w:styleId="CommentTextChar">
    <w:name w:val="Comment Text Char"/>
    <w:basedOn w:val="DefaultParagraphFont"/>
    <w:link w:val="CommentText"/>
    <w:uiPriority w:val="99"/>
    <w:semiHidden/>
    <w:rsid w:val="0030576F"/>
    <w:rPr>
      <w:sz w:val="20"/>
      <w:szCs w:val="20"/>
    </w:rPr>
  </w:style>
  <w:style w:type="paragraph" w:styleId="CommentSubject">
    <w:name w:val="annotation subject"/>
    <w:basedOn w:val="CommentText"/>
    <w:next w:val="CommentText"/>
    <w:link w:val="CommentSubjectChar"/>
    <w:uiPriority w:val="99"/>
    <w:semiHidden/>
    <w:unhideWhenUsed/>
    <w:rsid w:val="0030576F"/>
    <w:rPr>
      <w:b/>
      <w:bCs/>
    </w:rPr>
  </w:style>
  <w:style w:type="character" w:customStyle="1" w:styleId="CommentSubjectChar">
    <w:name w:val="Comment Subject Char"/>
    <w:basedOn w:val="CommentTextChar"/>
    <w:link w:val="CommentSubject"/>
    <w:uiPriority w:val="99"/>
    <w:semiHidden/>
    <w:rsid w:val="0030576F"/>
    <w:rPr>
      <w:b/>
      <w:bCs/>
      <w:sz w:val="20"/>
      <w:szCs w:val="20"/>
    </w:rPr>
  </w:style>
  <w:style w:type="paragraph" w:styleId="Revision">
    <w:name w:val="Revision"/>
    <w:hidden/>
    <w:uiPriority w:val="99"/>
    <w:semiHidden/>
    <w:rsid w:val="002204A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451261">
      <w:bodyDiv w:val="1"/>
      <w:marLeft w:val="0"/>
      <w:marRight w:val="0"/>
      <w:marTop w:val="0"/>
      <w:marBottom w:val="0"/>
      <w:divBdr>
        <w:top w:val="none" w:sz="0" w:space="0" w:color="auto"/>
        <w:left w:val="none" w:sz="0" w:space="0" w:color="auto"/>
        <w:bottom w:val="none" w:sz="0" w:space="0" w:color="auto"/>
        <w:right w:val="none" w:sz="0" w:space="0" w:color="auto"/>
      </w:divBdr>
    </w:div>
    <w:div w:id="102258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7912539591711729E-2"/>
          <c:y val="0.1233149853133562"/>
          <c:w val="0.87769395104682446"/>
          <c:h val="0.51325141248721462"/>
        </c:manualLayout>
      </c:layout>
      <c:barChart>
        <c:barDir val="col"/>
        <c:grouping val="clustered"/>
        <c:varyColors val="0"/>
        <c:ser>
          <c:idx val="4"/>
          <c:order val="3"/>
          <c:tx>
            <c:v>PKR Orientieris, % no RSA (labā ass)</c:v>
          </c:tx>
          <c:spPr>
            <a:solidFill>
              <a:schemeClr val="accent2">
                <a:lumMod val="40000"/>
                <a:lumOff val="60000"/>
              </a:schemeClr>
            </a:solidFill>
            <a:ln>
              <a:noFill/>
            </a:ln>
          </c:spPr>
          <c:invertIfNegative val="0"/>
          <c:cat>
            <c:numRef>
              <c:f>'Papildu novirze'!$A$3:$A$91</c:f>
              <c:numCache>
                <c:formatCode>mm\ yyyy</c:formatCode>
                <c:ptCount val="83"/>
                <c:pt idx="0">
                  <c:v>35520</c:v>
                </c:pt>
                <c:pt idx="1">
                  <c:v>35611</c:v>
                </c:pt>
                <c:pt idx="2">
                  <c:v>35703</c:v>
                </c:pt>
                <c:pt idx="3">
                  <c:v>35795</c:v>
                </c:pt>
                <c:pt idx="4">
                  <c:v>35885</c:v>
                </c:pt>
                <c:pt idx="5">
                  <c:v>35976</c:v>
                </c:pt>
                <c:pt idx="6">
                  <c:v>36068</c:v>
                </c:pt>
                <c:pt idx="7">
                  <c:v>36160</c:v>
                </c:pt>
                <c:pt idx="8">
                  <c:v>36250</c:v>
                </c:pt>
                <c:pt idx="9">
                  <c:v>36341</c:v>
                </c:pt>
                <c:pt idx="10">
                  <c:v>36433</c:v>
                </c:pt>
                <c:pt idx="11">
                  <c:v>36525</c:v>
                </c:pt>
                <c:pt idx="12">
                  <c:v>36616</c:v>
                </c:pt>
                <c:pt idx="13">
                  <c:v>36707</c:v>
                </c:pt>
                <c:pt idx="14">
                  <c:v>36799</c:v>
                </c:pt>
                <c:pt idx="15">
                  <c:v>36891</c:v>
                </c:pt>
                <c:pt idx="16">
                  <c:v>36981</c:v>
                </c:pt>
                <c:pt idx="17">
                  <c:v>37072</c:v>
                </c:pt>
                <c:pt idx="18">
                  <c:v>37164</c:v>
                </c:pt>
                <c:pt idx="19">
                  <c:v>37256</c:v>
                </c:pt>
                <c:pt idx="20">
                  <c:v>37346</c:v>
                </c:pt>
                <c:pt idx="21">
                  <c:v>37437</c:v>
                </c:pt>
                <c:pt idx="22">
                  <c:v>37529</c:v>
                </c:pt>
                <c:pt idx="23">
                  <c:v>37621</c:v>
                </c:pt>
                <c:pt idx="24">
                  <c:v>37711</c:v>
                </c:pt>
                <c:pt idx="25">
                  <c:v>37802</c:v>
                </c:pt>
                <c:pt idx="26">
                  <c:v>37894</c:v>
                </c:pt>
                <c:pt idx="27">
                  <c:v>37986</c:v>
                </c:pt>
                <c:pt idx="28">
                  <c:v>38077</c:v>
                </c:pt>
                <c:pt idx="29">
                  <c:v>38168</c:v>
                </c:pt>
                <c:pt idx="30">
                  <c:v>38260</c:v>
                </c:pt>
                <c:pt idx="31">
                  <c:v>38352</c:v>
                </c:pt>
                <c:pt idx="32">
                  <c:v>38442</c:v>
                </c:pt>
                <c:pt idx="33">
                  <c:v>38533</c:v>
                </c:pt>
                <c:pt idx="34">
                  <c:v>38625</c:v>
                </c:pt>
                <c:pt idx="35">
                  <c:v>38717</c:v>
                </c:pt>
                <c:pt idx="36">
                  <c:v>38807</c:v>
                </c:pt>
                <c:pt idx="37">
                  <c:v>38898</c:v>
                </c:pt>
                <c:pt idx="38">
                  <c:v>38990</c:v>
                </c:pt>
                <c:pt idx="39">
                  <c:v>39082</c:v>
                </c:pt>
                <c:pt idx="40">
                  <c:v>39172</c:v>
                </c:pt>
                <c:pt idx="41">
                  <c:v>39263</c:v>
                </c:pt>
                <c:pt idx="42">
                  <c:v>39355</c:v>
                </c:pt>
                <c:pt idx="43">
                  <c:v>39447</c:v>
                </c:pt>
                <c:pt idx="44">
                  <c:v>39538</c:v>
                </c:pt>
                <c:pt idx="45">
                  <c:v>39629</c:v>
                </c:pt>
                <c:pt idx="46">
                  <c:v>39721</c:v>
                </c:pt>
                <c:pt idx="47">
                  <c:v>39813</c:v>
                </c:pt>
                <c:pt idx="48">
                  <c:v>39903</c:v>
                </c:pt>
                <c:pt idx="49">
                  <c:v>39994</c:v>
                </c:pt>
                <c:pt idx="50">
                  <c:v>40086</c:v>
                </c:pt>
                <c:pt idx="51">
                  <c:v>40178</c:v>
                </c:pt>
                <c:pt idx="52">
                  <c:v>40268</c:v>
                </c:pt>
                <c:pt idx="53">
                  <c:v>40359</c:v>
                </c:pt>
                <c:pt idx="54">
                  <c:v>40451</c:v>
                </c:pt>
                <c:pt idx="55">
                  <c:v>40543</c:v>
                </c:pt>
                <c:pt idx="56">
                  <c:v>40633</c:v>
                </c:pt>
                <c:pt idx="57">
                  <c:v>40724</c:v>
                </c:pt>
                <c:pt idx="58">
                  <c:v>40816</c:v>
                </c:pt>
                <c:pt idx="59">
                  <c:v>40908</c:v>
                </c:pt>
                <c:pt idx="60">
                  <c:v>40999</c:v>
                </c:pt>
                <c:pt idx="61">
                  <c:v>41090</c:v>
                </c:pt>
                <c:pt idx="62">
                  <c:v>41182</c:v>
                </c:pt>
                <c:pt idx="63">
                  <c:v>41274</c:v>
                </c:pt>
                <c:pt idx="64">
                  <c:v>41364</c:v>
                </c:pt>
                <c:pt idx="65">
                  <c:v>41455</c:v>
                </c:pt>
                <c:pt idx="66">
                  <c:v>41547</c:v>
                </c:pt>
                <c:pt idx="67">
                  <c:v>41639</c:v>
                </c:pt>
                <c:pt idx="68">
                  <c:v>41729</c:v>
                </c:pt>
                <c:pt idx="69">
                  <c:v>41820</c:v>
                </c:pt>
                <c:pt idx="70">
                  <c:v>41912</c:v>
                </c:pt>
                <c:pt idx="71">
                  <c:v>42004</c:v>
                </c:pt>
                <c:pt idx="72">
                  <c:v>42094</c:v>
                </c:pt>
                <c:pt idx="73">
                  <c:v>42185</c:v>
                </c:pt>
                <c:pt idx="74">
                  <c:v>42277</c:v>
                </c:pt>
                <c:pt idx="75">
                  <c:v>42369</c:v>
                </c:pt>
                <c:pt idx="76">
                  <c:v>42460</c:v>
                </c:pt>
                <c:pt idx="77">
                  <c:v>42551</c:v>
                </c:pt>
                <c:pt idx="78">
                  <c:v>42643</c:v>
                </c:pt>
                <c:pt idx="79">
                  <c:v>42735</c:v>
                </c:pt>
                <c:pt idx="80">
                  <c:v>42825</c:v>
                </c:pt>
                <c:pt idx="81">
                  <c:v>42916</c:v>
                </c:pt>
                <c:pt idx="82">
                  <c:v>43008</c:v>
                </c:pt>
              </c:numCache>
            </c:numRef>
          </c:cat>
          <c:val>
            <c:numRef>
              <c:f>'Papildu novirze'!$F$3:$F$91</c:f>
              <c:numCache>
                <c:formatCode>General</c:formatCode>
                <c:ptCount val="83"/>
                <c:pt idx="12" formatCode="0.00">
                  <c:v>0</c:v>
                </c:pt>
                <c:pt idx="13" formatCode="0.00">
                  <c:v>0</c:v>
                </c:pt>
                <c:pt idx="14" formatCode="0.00">
                  <c:v>0</c:v>
                </c:pt>
                <c:pt idx="15" formatCode="0.00">
                  <c:v>0</c:v>
                </c:pt>
                <c:pt idx="16" formatCode="0.00">
                  <c:v>0</c:v>
                </c:pt>
                <c:pt idx="17" formatCode="0.00">
                  <c:v>0</c:v>
                </c:pt>
                <c:pt idx="18" formatCode="0.00">
                  <c:v>0</c:v>
                </c:pt>
                <c:pt idx="19" formatCode="0.00">
                  <c:v>0</c:v>
                </c:pt>
                <c:pt idx="20" formatCode="0.00">
                  <c:v>0</c:v>
                </c:pt>
                <c:pt idx="21" formatCode="0.00">
                  <c:v>0</c:v>
                </c:pt>
                <c:pt idx="22" formatCode="0.00">
                  <c:v>0</c:v>
                </c:pt>
                <c:pt idx="23" formatCode="0.00">
                  <c:v>0</c:v>
                </c:pt>
                <c:pt idx="24" formatCode="0.00">
                  <c:v>0</c:v>
                </c:pt>
                <c:pt idx="25" formatCode="0.00">
                  <c:v>0</c:v>
                </c:pt>
                <c:pt idx="26" formatCode="0.00">
                  <c:v>0</c:v>
                </c:pt>
                <c:pt idx="27" formatCode="0.00">
                  <c:v>0.21495769731210312</c:v>
                </c:pt>
                <c:pt idx="28" formatCode="0.00">
                  <c:v>0.40498811545560631</c:v>
                </c:pt>
                <c:pt idx="29" formatCode="0.00">
                  <c:v>0.60402442868581252</c:v>
                </c:pt>
                <c:pt idx="30" formatCode="0.00">
                  <c:v>0.83965640541914688</c:v>
                </c:pt>
                <c:pt idx="31" formatCode="0.00">
                  <c:v>0.85639412573952489</c:v>
                </c:pt>
                <c:pt idx="32" formatCode="0.00">
                  <c:v>0.96963570554885936</c:v>
                </c:pt>
                <c:pt idx="33" formatCode="0.00">
                  <c:v>1.3424439336317375</c:v>
                </c:pt>
                <c:pt idx="34" formatCode="0.00">
                  <c:v>1.6128849232951312</c:v>
                </c:pt>
                <c:pt idx="35" formatCode="0.00">
                  <c:v>2.0593829011427847</c:v>
                </c:pt>
                <c:pt idx="36" formatCode="0.00">
                  <c:v>2.0224949014101501</c:v>
                </c:pt>
                <c:pt idx="37" formatCode="0.00">
                  <c:v>2.4629660351267564</c:v>
                </c:pt>
                <c:pt idx="38" formatCode="0.00">
                  <c:v>2.5</c:v>
                </c:pt>
                <c:pt idx="39" formatCode="0.00">
                  <c:v>2.5</c:v>
                </c:pt>
                <c:pt idx="40" formatCode="0.00">
                  <c:v>2.5</c:v>
                </c:pt>
                <c:pt idx="41" formatCode="0.00">
                  <c:v>2.443560974980294</c:v>
                </c:pt>
                <c:pt idx="42" formatCode="0.00">
                  <c:v>1.5498476237536498</c:v>
                </c:pt>
                <c:pt idx="43" formatCode="0.00">
                  <c:v>0.5482288379358311</c:v>
                </c:pt>
                <c:pt idx="44" formatCode="0.00">
                  <c:v>0</c:v>
                </c:pt>
                <c:pt idx="45" formatCode="0.00">
                  <c:v>0</c:v>
                </c:pt>
                <c:pt idx="46" formatCode="0.00">
                  <c:v>0</c:v>
                </c:pt>
                <c:pt idx="47" formatCode="0.00">
                  <c:v>0</c:v>
                </c:pt>
                <c:pt idx="48" formatCode="0.00">
                  <c:v>0</c:v>
                </c:pt>
                <c:pt idx="49" formatCode="0.00">
                  <c:v>0</c:v>
                </c:pt>
                <c:pt idx="50" formatCode="0.00">
                  <c:v>0.63152669146157492</c:v>
                </c:pt>
                <c:pt idx="51" formatCode="0.00">
                  <c:v>1.2187040655809094</c:v>
                </c:pt>
                <c:pt idx="52" formatCode="0.00">
                  <c:v>1.0679936229676625</c:v>
                </c:pt>
                <c:pt idx="53" formatCode="0.00">
                  <c:v>0.5557231669327376</c:v>
                </c:pt>
                <c:pt idx="54" formatCode="0.00">
                  <c:v>0</c:v>
                </c:pt>
                <c:pt idx="55" formatCode="0.00">
                  <c:v>0</c:v>
                </c:pt>
                <c:pt idx="56" formatCode="0.00">
                  <c:v>0</c:v>
                </c:pt>
                <c:pt idx="57" formatCode="0.00">
                  <c:v>0</c:v>
                </c:pt>
                <c:pt idx="58" formatCode="0.00">
                  <c:v>0</c:v>
                </c:pt>
                <c:pt idx="59" formatCode="0.00">
                  <c:v>0</c:v>
                </c:pt>
                <c:pt idx="60" formatCode="0.00">
                  <c:v>0</c:v>
                </c:pt>
                <c:pt idx="61" formatCode="0.00">
                  <c:v>0</c:v>
                </c:pt>
                <c:pt idx="62" formatCode="0.00">
                  <c:v>0</c:v>
                </c:pt>
                <c:pt idx="63" formatCode="0.00">
                  <c:v>0</c:v>
                </c:pt>
                <c:pt idx="64" formatCode="0.00">
                  <c:v>0</c:v>
                </c:pt>
                <c:pt idx="65" formatCode="0.00">
                  <c:v>0</c:v>
                </c:pt>
                <c:pt idx="66" formatCode="0.00">
                  <c:v>0</c:v>
                </c:pt>
                <c:pt idx="67" formatCode="0.00">
                  <c:v>0</c:v>
                </c:pt>
                <c:pt idx="68" formatCode="0.00">
                  <c:v>0</c:v>
                </c:pt>
                <c:pt idx="69" formatCode="0.00">
                  <c:v>0</c:v>
                </c:pt>
                <c:pt idx="70" formatCode="0.00">
                  <c:v>0</c:v>
                </c:pt>
                <c:pt idx="71" formatCode="0.00">
                  <c:v>0</c:v>
                </c:pt>
                <c:pt idx="72" formatCode="0.00">
                  <c:v>0</c:v>
                </c:pt>
                <c:pt idx="73" formatCode="0.00">
                  <c:v>0</c:v>
                </c:pt>
                <c:pt idx="74" formatCode="0.00">
                  <c:v>0</c:v>
                </c:pt>
                <c:pt idx="75" formatCode="0.00">
                  <c:v>0</c:v>
                </c:pt>
                <c:pt idx="76" formatCode="0.00">
                  <c:v>0</c:v>
                </c:pt>
                <c:pt idx="77" formatCode="0.00">
                  <c:v>0</c:v>
                </c:pt>
                <c:pt idx="78" formatCode="0.00">
                  <c:v>0</c:v>
                </c:pt>
                <c:pt idx="79" formatCode="0.00">
                  <c:v>0</c:v>
                </c:pt>
                <c:pt idx="80" formatCode="0.00">
                  <c:v>0</c:v>
                </c:pt>
                <c:pt idx="81" formatCode="0.00">
                  <c:v>0</c:v>
                </c:pt>
                <c:pt idx="82" formatCode="0.00">
                  <c:v>0</c:v>
                </c:pt>
              </c:numCache>
            </c:numRef>
          </c:val>
          <c:extLst xmlns:c16r2="http://schemas.microsoft.com/office/drawing/2015/06/chart">
            <c:ext xmlns:c16="http://schemas.microsoft.com/office/drawing/2014/chart" uri="{C3380CC4-5D6E-409C-BE32-E72D297353CC}">
              <c16:uniqueId val="{00000000-A514-41F4-99A7-4BB0EAB3BE85}"/>
            </c:ext>
          </c:extLst>
        </c:ser>
        <c:dLbls>
          <c:showLegendKey val="0"/>
          <c:showVal val="0"/>
          <c:showCatName val="0"/>
          <c:showSerName val="0"/>
          <c:showPercent val="0"/>
          <c:showBubbleSize val="0"/>
        </c:dLbls>
        <c:gapWidth val="0"/>
        <c:axId val="38733696"/>
        <c:axId val="38732160"/>
      </c:barChart>
      <c:lineChart>
        <c:grouping val="standard"/>
        <c:varyColors val="0"/>
        <c:ser>
          <c:idx val="0"/>
          <c:order val="0"/>
          <c:tx>
            <c:strRef>
              <c:f>'Papildu novirze'!$B$1</c:f>
              <c:strCache>
                <c:ptCount val="1"/>
                <c:pt idx="0">
                  <c:v>Kredīti/IKP attiecība, %</c:v>
                </c:pt>
              </c:strCache>
            </c:strRef>
          </c:tx>
          <c:spPr>
            <a:ln w="38100">
              <a:solidFill>
                <a:srgbClr val="002060"/>
              </a:solidFill>
            </a:ln>
          </c:spPr>
          <c:marker>
            <c:symbol val="none"/>
          </c:marker>
          <c:cat>
            <c:numRef>
              <c:f>'Papildu novirze'!$A$3:$A$91</c:f>
              <c:numCache>
                <c:formatCode>mm\ yyyy</c:formatCode>
                <c:ptCount val="83"/>
                <c:pt idx="0">
                  <c:v>35520</c:v>
                </c:pt>
                <c:pt idx="1">
                  <c:v>35611</c:v>
                </c:pt>
                <c:pt idx="2">
                  <c:v>35703</c:v>
                </c:pt>
                <c:pt idx="3">
                  <c:v>35795</c:v>
                </c:pt>
                <c:pt idx="4">
                  <c:v>35885</c:v>
                </c:pt>
                <c:pt idx="5">
                  <c:v>35976</c:v>
                </c:pt>
                <c:pt idx="6">
                  <c:v>36068</c:v>
                </c:pt>
                <c:pt idx="7">
                  <c:v>36160</c:v>
                </c:pt>
                <c:pt idx="8">
                  <c:v>36250</c:v>
                </c:pt>
                <c:pt idx="9">
                  <c:v>36341</c:v>
                </c:pt>
                <c:pt idx="10">
                  <c:v>36433</c:v>
                </c:pt>
                <c:pt idx="11">
                  <c:v>36525</c:v>
                </c:pt>
                <c:pt idx="12">
                  <c:v>36616</c:v>
                </c:pt>
                <c:pt idx="13">
                  <c:v>36707</c:v>
                </c:pt>
                <c:pt idx="14">
                  <c:v>36799</c:v>
                </c:pt>
                <c:pt idx="15">
                  <c:v>36891</c:v>
                </c:pt>
                <c:pt idx="16">
                  <c:v>36981</c:v>
                </c:pt>
                <c:pt idx="17">
                  <c:v>37072</c:v>
                </c:pt>
                <c:pt idx="18">
                  <c:v>37164</c:v>
                </c:pt>
                <c:pt idx="19">
                  <c:v>37256</c:v>
                </c:pt>
                <c:pt idx="20">
                  <c:v>37346</c:v>
                </c:pt>
                <c:pt idx="21">
                  <c:v>37437</c:v>
                </c:pt>
                <c:pt idx="22">
                  <c:v>37529</c:v>
                </c:pt>
                <c:pt idx="23">
                  <c:v>37621</c:v>
                </c:pt>
                <c:pt idx="24">
                  <c:v>37711</c:v>
                </c:pt>
                <c:pt idx="25">
                  <c:v>37802</c:v>
                </c:pt>
                <c:pt idx="26">
                  <c:v>37894</c:v>
                </c:pt>
                <c:pt idx="27">
                  <c:v>37986</c:v>
                </c:pt>
                <c:pt idx="28">
                  <c:v>38077</c:v>
                </c:pt>
                <c:pt idx="29">
                  <c:v>38168</c:v>
                </c:pt>
                <c:pt idx="30">
                  <c:v>38260</c:v>
                </c:pt>
                <c:pt idx="31">
                  <c:v>38352</c:v>
                </c:pt>
                <c:pt idx="32">
                  <c:v>38442</c:v>
                </c:pt>
                <c:pt idx="33">
                  <c:v>38533</c:v>
                </c:pt>
                <c:pt idx="34">
                  <c:v>38625</c:v>
                </c:pt>
                <c:pt idx="35">
                  <c:v>38717</c:v>
                </c:pt>
                <c:pt idx="36">
                  <c:v>38807</c:v>
                </c:pt>
                <c:pt idx="37">
                  <c:v>38898</c:v>
                </c:pt>
                <c:pt idx="38">
                  <c:v>38990</c:v>
                </c:pt>
                <c:pt idx="39">
                  <c:v>39082</c:v>
                </c:pt>
                <c:pt idx="40">
                  <c:v>39172</c:v>
                </c:pt>
                <c:pt idx="41">
                  <c:v>39263</c:v>
                </c:pt>
                <c:pt idx="42">
                  <c:v>39355</c:v>
                </c:pt>
                <c:pt idx="43">
                  <c:v>39447</c:v>
                </c:pt>
                <c:pt idx="44">
                  <c:v>39538</c:v>
                </c:pt>
                <c:pt idx="45">
                  <c:v>39629</c:v>
                </c:pt>
                <c:pt idx="46">
                  <c:v>39721</c:v>
                </c:pt>
                <c:pt idx="47">
                  <c:v>39813</c:v>
                </c:pt>
                <c:pt idx="48">
                  <c:v>39903</c:v>
                </c:pt>
                <c:pt idx="49">
                  <c:v>39994</c:v>
                </c:pt>
                <c:pt idx="50">
                  <c:v>40086</c:v>
                </c:pt>
                <c:pt idx="51">
                  <c:v>40178</c:v>
                </c:pt>
                <c:pt idx="52">
                  <c:v>40268</c:v>
                </c:pt>
                <c:pt idx="53">
                  <c:v>40359</c:v>
                </c:pt>
                <c:pt idx="54">
                  <c:v>40451</c:v>
                </c:pt>
                <c:pt idx="55">
                  <c:v>40543</c:v>
                </c:pt>
                <c:pt idx="56">
                  <c:v>40633</c:v>
                </c:pt>
                <c:pt idx="57">
                  <c:v>40724</c:v>
                </c:pt>
                <c:pt idx="58">
                  <c:v>40816</c:v>
                </c:pt>
                <c:pt idx="59">
                  <c:v>40908</c:v>
                </c:pt>
                <c:pt idx="60">
                  <c:v>40999</c:v>
                </c:pt>
                <c:pt idx="61">
                  <c:v>41090</c:v>
                </c:pt>
                <c:pt idx="62">
                  <c:v>41182</c:v>
                </c:pt>
                <c:pt idx="63">
                  <c:v>41274</c:v>
                </c:pt>
                <c:pt idx="64">
                  <c:v>41364</c:v>
                </c:pt>
                <c:pt idx="65">
                  <c:v>41455</c:v>
                </c:pt>
                <c:pt idx="66">
                  <c:v>41547</c:v>
                </c:pt>
                <c:pt idx="67">
                  <c:v>41639</c:v>
                </c:pt>
                <c:pt idx="68">
                  <c:v>41729</c:v>
                </c:pt>
                <c:pt idx="69">
                  <c:v>41820</c:v>
                </c:pt>
                <c:pt idx="70">
                  <c:v>41912</c:v>
                </c:pt>
                <c:pt idx="71">
                  <c:v>42004</c:v>
                </c:pt>
                <c:pt idx="72">
                  <c:v>42094</c:v>
                </c:pt>
                <c:pt idx="73">
                  <c:v>42185</c:v>
                </c:pt>
                <c:pt idx="74">
                  <c:v>42277</c:v>
                </c:pt>
                <c:pt idx="75">
                  <c:v>42369</c:v>
                </c:pt>
                <c:pt idx="76">
                  <c:v>42460</c:v>
                </c:pt>
                <c:pt idx="77">
                  <c:v>42551</c:v>
                </c:pt>
                <c:pt idx="78">
                  <c:v>42643</c:v>
                </c:pt>
                <c:pt idx="79">
                  <c:v>42735</c:v>
                </c:pt>
                <c:pt idx="80">
                  <c:v>42825</c:v>
                </c:pt>
                <c:pt idx="81">
                  <c:v>42916</c:v>
                </c:pt>
                <c:pt idx="82">
                  <c:v>43008</c:v>
                </c:pt>
              </c:numCache>
            </c:numRef>
          </c:cat>
          <c:val>
            <c:numRef>
              <c:f>'Papildu novirze'!$B$3:$B$91</c:f>
              <c:numCache>
                <c:formatCode>_ * #,##0_ ;_ * \-#,##0_ ;_ * "-"??_ ;_ @_ </c:formatCode>
                <c:ptCount val="83"/>
                <c:pt idx="0">
                  <c:v>6.1990109229118042</c:v>
                </c:pt>
                <c:pt idx="1">
                  <c:v>6.7136105859417858</c:v>
                </c:pt>
                <c:pt idx="2">
                  <c:v>7.7116079911990836</c:v>
                </c:pt>
                <c:pt idx="3">
                  <c:v>8.7299444244569155</c:v>
                </c:pt>
                <c:pt idx="4">
                  <c:v>9.9211257858857032</c:v>
                </c:pt>
                <c:pt idx="5">
                  <c:v>11.262297693800253</c:v>
                </c:pt>
                <c:pt idx="6">
                  <c:v>12.418648620263387</c:v>
                </c:pt>
                <c:pt idx="7">
                  <c:v>12.376759393208598</c:v>
                </c:pt>
                <c:pt idx="8">
                  <c:v>12.6467349734432</c:v>
                </c:pt>
                <c:pt idx="9">
                  <c:v>12.6072271086597</c:v>
                </c:pt>
                <c:pt idx="10">
                  <c:v>12.870442994238299</c:v>
                </c:pt>
                <c:pt idx="11">
                  <c:v>13.6842049511091</c:v>
                </c:pt>
                <c:pt idx="12">
                  <c:v>14.2744038698105</c:v>
                </c:pt>
                <c:pt idx="13">
                  <c:v>14.520349362847901</c:v>
                </c:pt>
                <c:pt idx="14">
                  <c:v>15.3384916355384</c:v>
                </c:pt>
                <c:pt idx="15">
                  <c:v>16.607438697806</c:v>
                </c:pt>
                <c:pt idx="16">
                  <c:v>17.866727814355102</c:v>
                </c:pt>
                <c:pt idx="17">
                  <c:v>18.578157762357201</c:v>
                </c:pt>
                <c:pt idx="18">
                  <c:v>19.570511933796499</c:v>
                </c:pt>
                <c:pt idx="19">
                  <c:v>20.7801917155175</c:v>
                </c:pt>
                <c:pt idx="20">
                  <c:v>21.586303922384602</c:v>
                </c:pt>
                <c:pt idx="21">
                  <c:v>22.160649906980101</c:v>
                </c:pt>
                <c:pt idx="22">
                  <c:v>23.494236752698601</c:v>
                </c:pt>
                <c:pt idx="23">
                  <c:v>25.275185830164801</c:v>
                </c:pt>
                <c:pt idx="24">
                  <c:v>26.7875245078638</c:v>
                </c:pt>
                <c:pt idx="25">
                  <c:v>28.319695496952001</c:v>
                </c:pt>
                <c:pt idx="26">
                  <c:v>30.025228288834299</c:v>
                </c:pt>
                <c:pt idx="27">
                  <c:v>32.346748673195897</c:v>
                </c:pt>
                <c:pt idx="28">
                  <c:v>34.687349671962302</c:v>
                </c:pt>
                <c:pt idx="29">
                  <c:v>37.203384887360997</c:v>
                </c:pt>
                <c:pt idx="30">
                  <c:v>40.001103940899398</c:v>
                </c:pt>
                <c:pt idx="31">
                  <c:v>42.127401578751297</c:v>
                </c:pt>
                <c:pt idx="32">
                  <c:v>44.644769102776998</c:v>
                </c:pt>
                <c:pt idx="33">
                  <c:v>48.213814059235602</c:v>
                </c:pt>
                <c:pt idx="34">
                  <c:v>51.617155804346098</c:v>
                </c:pt>
                <c:pt idx="35">
                  <c:v>55.830116913518403</c:v>
                </c:pt>
                <c:pt idx="36">
                  <c:v>58.502549346305301</c:v>
                </c:pt>
                <c:pt idx="37">
                  <c:v>62.930748751435203</c:v>
                </c:pt>
                <c:pt idx="38">
                  <c:v>67.704598581492206</c:v>
                </c:pt>
                <c:pt idx="39">
                  <c:v>72.812578054420996</c:v>
                </c:pt>
                <c:pt idx="40">
                  <c:v>74.948169786047004</c:v>
                </c:pt>
                <c:pt idx="41">
                  <c:v>76.142500729928301</c:v>
                </c:pt>
                <c:pt idx="42">
                  <c:v>76.092363220990407</c:v>
                </c:pt>
                <c:pt idx="43">
                  <c:v>75.324167104911496</c:v>
                </c:pt>
                <c:pt idx="44">
                  <c:v>75.164609611802007</c:v>
                </c:pt>
                <c:pt idx="45">
                  <c:v>75.920000925508404</c:v>
                </c:pt>
                <c:pt idx="46">
                  <c:v>77.106586936211301</c:v>
                </c:pt>
                <c:pt idx="47">
                  <c:v>77.662994825519107</c:v>
                </c:pt>
                <c:pt idx="48">
                  <c:v>80.130414238403404</c:v>
                </c:pt>
                <c:pt idx="49">
                  <c:v>84.243662763871896</c:v>
                </c:pt>
                <c:pt idx="50">
                  <c:v>89.891116900387004</c:v>
                </c:pt>
                <c:pt idx="51">
                  <c:v>94.3651599575132</c:v>
                </c:pt>
                <c:pt idx="52">
                  <c:v>96.440102902166004</c:v>
                </c:pt>
                <c:pt idx="53">
                  <c:v>97.211164825284698</c:v>
                </c:pt>
                <c:pt idx="54">
                  <c:v>95.621981253574305</c:v>
                </c:pt>
                <c:pt idx="55">
                  <c:v>91.257673559230597</c:v>
                </c:pt>
                <c:pt idx="56">
                  <c:v>87.290718743123804</c:v>
                </c:pt>
                <c:pt idx="57">
                  <c:v>82.845479685259903</c:v>
                </c:pt>
                <c:pt idx="58">
                  <c:v>79.521021220263904</c:v>
                </c:pt>
                <c:pt idx="59">
                  <c:v>74.470462801495202</c:v>
                </c:pt>
                <c:pt idx="60">
                  <c:v>68.580569364022907</c:v>
                </c:pt>
                <c:pt idx="61">
                  <c:v>64.960140451732798</c:v>
                </c:pt>
                <c:pt idx="62">
                  <c:v>63.585930205809298</c:v>
                </c:pt>
                <c:pt idx="63">
                  <c:v>60.953684415707897</c:v>
                </c:pt>
                <c:pt idx="64">
                  <c:v>59.445705193713501</c:v>
                </c:pt>
                <c:pt idx="65">
                  <c:v>57.333471725318397</c:v>
                </c:pt>
                <c:pt idx="66">
                  <c:v>55.781397376969203</c:v>
                </c:pt>
                <c:pt idx="67">
                  <c:v>54.371038234827701</c:v>
                </c:pt>
                <c:pt idx="68">
                  <c:v>51.328973313305802</c:v>
                </c:pt>
                <c:pt idx="69">
                  <c:v>50.087234462885299</c:v>
                </c:pt>
                <c:pt idx="70">
                  <c:v>49.5773825055103</c:v>
                </c:pt>
                <c:pt idx="71">
                  <c:v>47.814787588399099</c:v>
                </c:pt>
                <c:pt idx="72">
                  <c:v>47.275849269183603</c:v>
                </c:pt>
                <c:pt idx="73">
                  <c:v>46.502880950604499</c:v>
                </c:pt>
                <c:pt idx="74">
                  <c:v>45.941061217050297</c:v>
                </c:pt>
                <c:pt idx="75">
                  <c:v>44.931275651744002</c:v>
                </c:pt>
                <c:pt idx="76">
                  <c:v>44.056816495754603</c:v>
                </c:pt>
                <c:pt idx="77">
                  <c:v>44.605518314865598</c:v>
                </c:pt>
                <c:pt idx="78">
                  <c:v>44.6310856447639</c:v>
                </c:pt>
                <c:pt idx="79">
                  <c:v>44.109559825998502</c:v>
                </c:pt>
                <c:pt idx="80">
                  <c:v>43.603497227395899</c:v>
                </c:pt>
                <c:pt idx="81">
                  <c:v>42.585890800566197</c:v>
                </c:pt>
                <c:pt idx="82">
                  <c:v>40.728876459857901</c:v>
                </c:pt>
              </c:numCache>
            </c:numRef>
          </c:val>
          <c:smooth val="0"/>
          <c:extLst xmlns:c16r2="http://schemas.microsoft.com/office/drawing/2015/06/chart">
            <c:ext xmlns:c16="http://schemas.microsoft.com/office/drawing/2014/chart" uri="{C3380CC4-5D6E-409C-BE32-E72D297353CC}">
              <c16:uniqueId val="{00000001-A514-41F4-99A7-4BB0EAB3BE85}"/>
            </c:ext>
          </c:extLst>
        </c:ser>
        <c:ser>
          <c:idx val="1"/>
          <c:order val="1"/>
          <c:tx>
            <c:strRef>
              <c:f>'Papildu novirze'!$C$1</c:f>
              <c:strCache>
                <c:ptCount val="1"/>
                <c:pt idx="0">
                  <c:v>Kredīti/IKP tendence, %</c:v>
                </c:pt>
              </c:strCache>
            </c:strRef>
          </c:tx>
          <c:spPr>
            <a:ln w="38100">
              <a:solidFill>
                <a:srgbClr val="C00000"/>
              </a:solidFill>
            </a:ln>
          </c:spPr>
          <c:marker>
            <c:symbol val="none"/>
          </c:marker>
          <c:cat>
            <c:numRef>
              <c:f>'Papildu novirze'!$A$3:$A$91</c:f>
              <c:numCache>
                <c:formatCode>mm\ yyyy</c:formatCode>
                <c:ptCount val="83"/>
                <c:pt idx="0">
                  <c:v>35520</c:v>
                </c:pt>
                <c:pt idx="1">
                  <c:v>35611</c:v>
                </c:pt>
                <c:pt idx="2">
                  <c:v>35703</c:v>
                </c:pt>
                <c:pt idx="3">
                  <c:v>35795</c:v>
                </c:pt>
                <c:pt idx="4">
                  <c:v>35885</c:v>
                </c:pt>
                <c:pt idx="5">
                  <c:v>35976</c:v>
                </c:pt>
                <c:pt idx="6">
                  <c:v>36068</c:v>
                </c:pt>
                <c:pt idx="7">
                  <c:v>36160</c:v>
                </c:pt>
                <c:pt idx="8">
                  <c:v>36250</c:v>
                </c:pt>
                <c:pt idx="9">
                  <c:v>36341</c:v>
                </c:pt>
                <c:pt idx="10">
                  <c:v>36433</c:v>
                </c:pt>
                <c:pt idx="11">
                  <c:v>36525</c:v>
                </c:pt>
                <c:pt idx="12">
                  <c:v>36616</c:v>
                </c:pt>
                <c:pt idx="13">
                  <c:v>36707</c:v>
                </c:pt>
                <c:pt idx="14">
                  <c:v>36799</c:v>
                </c:pt>
                <c:pt idx="15">
                  <c:v>36891</c:v>
                </c:pt>
                <c:pt idx="16">
                  <c:v>36981</c:v>
                </c:pt>
                <c:pt idx="17">
                  <c:v>37072</c:v>
                </c:pt>
                <c:pt idx="18">
                  <c:v>37164</c:v>
                </c:pt>
                <c:pt idx="19">
                  <c:v>37256</c:v>
                </c:pt>
                <c:pt idx="20">
                  <c:v>37346</c:v>
                </c:pt>
                <c:pt idx="21">
                  <c:v>37437</c:v>
                </c:pt>
                <c:pt idx="22">
                  <c:v>37529</c:v>
                </c:pt>
                <c:pt idx="23">
                  <c:v>37621</c:v>
                </c:pt>
                <c:pt idx="24">
                  <c:v>37711</c:v>
                </c:pt>
                <c:pt idx="25">
                  <c:v>37802</c:v>
                </c:pt>
                <c:pt idx="26">
                  <c:v>37894</c:v>
                </c:pt>
                <c:pt idx="27">
                  <c:v>37986</c:v>
                </c:pt>
                <c:pt idx="28">
                  <c:v>38077</c:v>
                </c:pt>
                <c:pt idx="29">
                  <c:v>38168</c:v>
                </c:pt>
                <c:pt idx="30">
                  <c:v>38260</c:v>
                </c:pt>
                <c:pt idx="31">
                  <c:v>38352</c:v>
                </c:pt>
                <c:pt idx="32">
                  <c:v>38442</c:v>
                </c:pt>
                <c:pt idx="33">
                  <c:v>38533</c:v>
                </c:pt>
                <c:pt idx="34">
                  <c:v>38625</c:v>
                </c:pt>
                <c:pt idx="35">
                  <c:v>38717</c:v>
                </c:pt>
                <c:pt idx="36">
                  <c:v>38807</c:v>
                </c:pt>
                <c:pt idx="37">
                  <c:v>38898</c:v>
                </c:pt>
                <c:pt idx="38">
                  <c:v>38990</c:v>
                </c:pt>
                <c:pt idx="39">
                  <c:v>39082</c:v>
                </c:pt>
                <c:pt idx="40">
                  <c:v>39172</c:v>
                </c:pt>
                <c:pt idx="41">
                  <c:v>39263</c:v>
                </c:pt>
                <c:pt idx="42">
                  <c:v>39355</c:v>
                </c:pt>
                <c:pt idx="43">
                  <c:v>39447</c:v>
                </c:pt>
                <c:pt idx="44">
                  <c:v>39538</c:v>
                </c:pt>
                <c:pt idx="45">
                  <c:v>39629</c:v>
                </c:pt>
                <c:pt idx="46">
                  <c:v>39721</c:v>
                </c:pt>
                <c:pt idx="47">
                  <c:v>39813</c:v>
                </c:pt>
                <c:pt idx="48">
                  <c:v>39903</c:v>
                </c:pt>
                <c:pt idx="49">
                  <c:v>39994</c:v>
                </c:pt>
                <c:pt idx="50">
                  <c:v>40086</c:v>
                </c:pt>
                <c:pt idx="51">
                  <c:v>40178</c:v>
                </c:pt>
                <c:pt idx="52">
                  <c:v>40268</c:v>
                </c:pt>
                <c:pt idx="53">
                  <c:v>40359</c:v>
                </c:pt>
                <c:pt idx="54">
                  <c:v>40451</c:v>
                </c:pt>
                <c:pt idx="55">
                  <c:v>40543</c:v>
                </c:pt>
                <c:pt idx="56">
                  <c:v>40633</c:v>
                </c:pt>
                <c:pt idx="57">
                  <c:v>40724</c:v>
                </c:pt>
                <c:pt idx="58">
                  <c:v>40816</c:v>
                </c:pt>
                <c:pt idx="59">
                  <c:v>40908</c:v>
                </c:pt>
                <c:pt idx="60">
                  <c:v>40999</c:v>
                </c:pt>
                <c:pt idx="61">
                  <c:v>41090</c:v>
                </c:pt>
                <c:pt idx="62">
                  <c:v>41182</c:v>
                </c:pt>
                <c:pt idx="63">
                  <c:v>41274</c:v>
                </c:pt>
                <c:pt idx="64">
                  <c:v>41364</c:v>
                </c:pt>
                <c:pt idx="65">
                  <c:v>41455</c:v>
                </c:pt>
                <c:pt idx="66">
                  <c:v>41547</c:v>
                </c:pt>
                <c:pt idx="67">
                  <c:v>41639</c:v>
                </c:pt>
                <c:pt idx="68">
                  <c:v>41729</c:v>
                </c:pt>
                <c:pt idx="69">
                  <c:v>41820</c:v>
                </c:pt>
                <c:pt idx="70">
                  <c:v>41912</c:v>
                </c:pt>
                <c:pt idx="71">
                  <c:v>42004</c:v>
                </c:pt>
                <c:pt idx="72">
                  <c:v>42094</c:v>
                </c:pt>
                <c:pt idx="73">
                  <c:v>42185</c:v>
                </c:pt>
                <c:pt idx="74">
                  <c:v>42277</c:v>
                </c:pt>
                <c:pt idx="75">
                  <c:v>42369</c:v>
                </c:pt>
                <c:pt idx="76">
                  <c:v>42460</c:v>
                </c:pt>
                <c:pt idx="77">
                  <c:v>42551</c:v>
                </c:pt>
                <c:pt idx="78">
                  <c:v>42643</c:v>
                </c:pt>
                <c:pt idx="79">
                  <c:v>42735</c:v>
                </c:pt>
                <c:pt idx="80">
                  <c:v>42825</c:v>
                </c:pt>
                <c:pt idx="81">
                  <c:v>42916</c:v>
                </c:pt>
                <c:pt idx="82">
                  <c:v>43008</c:v>
                </c:pt>
              </c:numCache>
            </c:numRef>
          </c:cat>
          <c:val>
            <c:numRef>
              <c:f>'Papildu novirze'!$C$3:$C$91</c:f>
              <c:numCache>
                <c:formatCode>General</c:formatCode>
                <c:ptCount val="83"/>
                <c:pt idx="12" formatCode="#,##0">
                  <c:v>14.0830657908504</c:v>
                </c:pt>
                <c:pt idx="13" formatCode="#,##0">
                  <c:v>14.5184202401473</c:v>
                </c:pt>
                <c:pt idx="14" formatCode="#,##0">
                  <c:v>15.1315678793489</c:v>
                </c:pt>
                <c:pt idx="15" formatCode="#,##0">
                  <c:v>16.023718580476</c:v>
                </c:pt>
                <c:pt idx="16" formatCode="#,##0">
                  <c:v>17.0675467681383</c:v>
                </c:pt>
                <c:pt idx="17" formatCode="#,##0">
                  <c:v>18.0110829186047</c:v>
                </c:pt>
                <c:pt idx="18" formatCode="#,##0">
                  <c:v>18.9787543172543</c:v>
                </c:pt>
                <c:pt idx="19" formatCode="#,##0">
                  <c:v>20.025391938582398</c:v>
                </c:pt>
                <c:pt idx="20" formatCode="#,##0">
                  <c:v>21.014255881728801</c:v>
                </c:pt>
                <c:pt idx="21" formatCode="#,##0">
                  <c:v>21.901976024539699</c:v>
                </c:pt>
                <c:pt idx="22" formatCode="#,##0">
                  <c:v>22.899636311203899</c:v>
                </c:pt>
                <c:pt idx="23" formatCode="#,##0">
                  <c:v>24.080289604664699</c:v>
                </c:pt>
                <c:pt idx="24" formatCode="#,##0">
                  <c:v>25.340374533247001</c:v>
                </c:pt>
                <c:pt idx="25" formatCode="#,##0">
                  <c:v>26.664714486493398</c:v>
                </c:pt>
                <c:pt idx="26" formatCode="#,##0">
                  <c:v>28.072139492809601</c:v>
                </c:pt>
                <c:pt idx="27" formatCode="#,##0">
                  <c:v>29.658884041797201</c:v>
                </c:pt>
                <c:pt idx="28" formatCode="#,##0">
                  <c:v>31.3913877025043</c:v>
                </c:pt>
                <c:pt idx="29" formatCode="#,##0">
                  <c:v>33.270506715566398</c:v>
                </c:pt>
                <c:pt idx="30" formatCode="#,##0">
                  <c:v>35.3142034435581</c:v>
                </c:pt>
                <c:pt idx="31" formatCode="#,##0">
                  <c:v>37.3869403763848</c:v>
                </c:pt>
                <c:pt idx="32" formatCode="#,##0">
                  <c:v>39.541934845020698</c:v>
                </c:pt>
                <c:pt idx="33" formatCode="#,##0">
                  <c:v>41.917993471613997</c:v>
                </c:pt>
                <c:pt idx="34" formatCode="#,##0">
                  <c:v>44.455924049801702</c:v>
                </c:pt>
                <c:pt idx="35" formatCode="#,##0">
                  <c:v>47.240091629861503</c:v>
                </c:pt>
                <c:pt idx="36" formatCode="#,##0">
                  <c:v>50.030565661792799</c:v>
                </c:pt>
                <c:pt idx="37" formatCode="#,##0">
                  <c:v>53.049257439029603</c:v>
                </c:pt>
                <c:pt idx="38" formatCode="#,##0">
                  <c:v>56.306426572814999</c:v>
                </c:pt>
                <c:pt idx="39" formatCode="#,##0">
                  <c:v>59.8092777240091</c:v>
                </c:pt>
                <c:pt idx="40" formatCode="#,##0">
                  <c:v>63.178403779503</c:v>
                </c:pt>
                <c:pt idx="41" formatCode="#,##0">
                  <c:v>66.323105609991401</c:v>
                </c:pt>
                <c:pt idx="42" formatCode="#,##0">
                  <c:v>69.132850824978803</c:v>
                </c:pt>
                <c:pt idx="43" formatCode="#,##0">
                  <c:v>71.5698348235168</c:v>
                </c:pt>
                <c:pt idx="44" formatCode="#,##0">
                  <c:v>73.740774591645803</c:v>
                </c:pt>
                <c:pt idx="45" formatCode="#,##0">
                  <c:v>75.769144828652003</c:v>
                </c:pt>
                <c:pt idx="46" formatCode="#,##0">
                  <c:v>77.713629177583698</c:v>
                </c:pt>
                <c:pt idx="47" formatCode="#,##0">
                  <c:v>79.521648716927501</c:v>
                </c:pt>
                <c:pt idx="48" formatCode="#,##0">
                  <c:v>81.389917297532904</c:v>
                </c:pt>
                <c:pt idx="49" formatCode="#,##0">
                  <c:v>83.466166106371702</c:v>
                </c:pt>
                <c:pt idx="50" formatCode="#,##0">
                  <c:v>85.870231487710001</c:v>
                </c:pt>
                <c:pt idx="51" formatCode="#,##0">
                  <c:v>88.465306947654298</c:v>
                </c:pt>
                <c:pt idx="52" formatCode="#,##0">
                  <c:v>91.022523308669506</c:v>
                </c:pt>
                <c:pt idx="53" formatCode="#,##0">
                  <c:v>93.432850691100001</c:v>
                </c:pt>
                <c:pt idx="54" formatCode="#,##0">
                  <c:v>95.509674022928095</c:v>
                </c:pt>
                <c:pt idx="55" formatCode="#,##0">
                  <c:v>97.0515354921925</c:v>
                </c:pt>
                <c:pt idx="56" formatCode="#,##0">
                  <c:v>98.136513263433599</c:v>
                </c:pt>
                <c:pt idx="57" formatCode="#,##0">
                  <c:v>98.764368290302102</c:v>
                </c:pt>
                <c:pt idx="58" formatCode="#,##0">
                  <c:v>99.060873949603604</c:v>
                </c:pt>
                <c:pt idx="59" formatCode="#,##0">
                  <c:v>98.9184710818475</c:v>
                </c:pt>
                <c:pt idx="60" formatCode="#,##0">
                  <c:v>98.307239817893603</c:v>
                </c:pt>
                <c:pt idx="61" formatCode="#,##0">
                  <c:v>97.433882651552096</c:v>
                </c:pt>
                <c:pt idx="62" formatCode="#,##0">
                  <c:v>96.484777842626698</c:v>
                </c:pt>
                <c:pt idx="63" formatCode="#,##0">
                  <c:v>95.373559462523403</c:v>
                </c:pt>
                <c:pt idx="64" formatCode="#,##0">
                  <c:v>94.193065611993006</c:v>
                </c:pt>
                <c:pt idx="65" formatCode="#,##0">
                  <c:v>92.905235259340103</c:v>
                </c:pt>
                <c:pt idx="66" formatCode="#,##0">
                  <c:v>91.556910052689403</c:v>
                </c:pt>
                <c:pt idx="67" formatCode="#,##0">
                  <c:v>90.162110791487294</c:v>
                </c:pt>
                <c:pt idx="68" formatCode="#,##0">
                  <c:v>88.6119994564759</c:v>
                </c:pt>
                <c:pt idx="69" formatCode="#,##0">
                  <c:v>87.038737534711103</c:v>
                </c:pt>
                <c:pt idx="70" formatCode="#,##0">
                  <c:v>85.493045109366804</c:v>
                </c:pt>
                <c:pt idx="71" formatCode="#,##0">
                  <c:v>83.890241421112705</c:v>
                </c:pt>
                <c:pt idx="72" formatCode="#,##0">
                  <c:v>82.314293147536006</c:v>
                </c:pt>
                <c:pt idx="73" formatCode="#,##0">
                  <c:v>80.748592932017203</c:v>
                </c:pt>
                <c:pt idx="74" formatCode="#,##0">
                  <c:v>79.206350373700801</c:v>
                </c:pt>
                <c:pt idx="75" formatCode="#,##0">
                  <c:v>77.657840885410707</c:v>
                </c:pt>
                <c:pt idx="76" formatCode="#,##0">
                  <c:v>76.1121659517935</c:v>
                </c:pt>
                <c:pt idx="77" formatCode="#,##0">
                  <c:v>74.658730915526604</c:v>
                </c:pt>
                <c:pt idx="78" formatCode="#,##0">
                  <c:v>73.260383481498707</c:v>
                </c:pt>
                <c:pt idx="79" formatCode="#,##0">
                  <c:v>71.880732391399704</c:v>
                </c:pt>
                <c:pt idx="80" formatCode="#,##0">
                  <c:v>70.520021805216004</c:v>
                </c:pt>
                <c:pt idx="81" formatCode="#,##0">
                  <c:v>69.146403234948806</c:v>
                </c:pt>
                <c:pt idx="82" formatCode="#,##0">
                  <c:v>67.709946809177694</c:v>
                </c:pt>
              </c:numCache>
            </c:numRef>
          </c:val>
          <c:smooth val="0"/>
          <c:extLst xmlns:c16r2="http://schemas.microsoft.com/office/drawing/2015/06/chart">
            <c:ext xmlns:c16="http://schemas.microsoft.com/office/drawing/2014/chart" uri="{C3380CC4-5D6E-409C-BE32-E72D297353CC}">
              <c16:uniqueId val="{00000002-A514-41F4-99A7-4BB0EAB3BE85}"/>
            </c:ext>
          </c:extLst>
        </c:ser>
        <c:ser>
          <c:idx val="2"/>
          <c:order val="2"/>
          <c:tx>
            <c:strRef>
              <c:f>'Papildu novirze'!$D$1</c:f>
              <c:strCache>
                <c:ptCount val="1"/>
                <c:pt idx="0">
                  <c:v>Novirze no tendences, pp</c:v>
                </c:pt>
              </c:strCache>
            </c:strRef>
          </c:tx>
          <c:spPr>
            <a:ln w="38100">
              <a:solidFill>
                <a:srgbClr val="FFC000"/>
              </a:solidFill>
            </a:ln>
          </c:spPr>
          <c:marker>
            <c:symbol val="none"/>
          </c:marker>
          <c:cat>
            <c:numRef>
              <c:f>'Papildu novirze'!$A$3:$A$91</c:f>
              <c:numCache>
                <c:formatCode>mm\ yyyy</c:formatCode>
                <c:ptCount val="83"/>
                <c:pt idx="0">
                  <c:v>35520</c:v>
                </c:pt>
                <c:pt idx="1">
                  <c:v>35611</c:v>
                </c:pt>
                <c:pt idx="2">
                  <c:v>35703</c:v>
                </c:pt>
                <c:pt idx="3">
                  <c:v>35795</c:v>
                </c:pt>
                <c:pt idx="4">
                  <c:v>35885</c:v>
                </c:pt>
                <c:pt idx="5">
                  <c:v>35976</c:v>
                </c:pt>
                <c:pt idx="6">
                  <c:v>36068</c:v>
                </c:pt>
                <c:pt idx="7">
                  <c:v>36160</c:v>
                </c:pt>
                <c:pt idx="8">
                  <c:v>36250</c:v>
                </c:pt>
                <c:pt idx="9">
                  <c:v>36341</c:v>
                </c:pt>
                <c:pt idx="10">
                  <c:v>36433</c:v>
                </c:pt>
                <c:pt idx="11">
                  <c:v>36525</c:v>
                </c:pt>
                <c:pt idx="12">
                  <c:v>36616</c:v>
                </c:pt>
                <c:pt idx="13">
                  <c:v>36707</c:v>
                </c:pt>
                <c:pt idx="14">
                  <c:v>36799</c:v>
                </c:pt>
                <c:pt idx="15">
                  <c:v>36891</c:v>
                </c:pt>
                <c:pt idx="16">
                  <c:v>36981</c:v>
                </c:pt>
                <c:pt idx="17">
                  <c:v>37072</c:v>
                </c:pt>
                <c:pt idx="18">
                  <c:v>37164</c:v>
                </c:pt>
                <c:pt idx="19">
                  <c:v>37256</c:v>
                </c:pt>
                <c:pt idx="20">
                  <c:v>37346</c:v>
                </c:pt>
                <c:pt idx="21">
                  <c:v>37437</c:v>
                </c:pt>
                <c:pt idx="22">
                  <c:v>37529</c:v>
                </c:pt>
                <c:pt idx="23">
                  <c:v>37621</c:v>
                </c:pt>
                <c:pt idx="24">
                  <c:v>37711</c:v>
                </c:pt>
                <c:pt idx="25">
                  <c:v>37802</c:v>
                </c:pt>
                <c:pt idx="26">
                  <c:v>37894</c:v>
                </c:pt>
                <c:pt idx="27">
                  <c:v>37986</c:v>
                </c:pt>
                <c:pt idx="28">
                  <c:v>38077</c:v>
                </c:pt>
                <c:pt idx="29">
                  <c:v>38168</c:v>
                </c:pt>
                <c:pt idx="30">
                  <c:v>38260</c:v>
                </c:pt>
                <c:pt idx="31">
                  <c:v>38352</c:v>
                </c:pt>
                <c:pt idx="32">
                  <c:v>38442</c:v>
                </c:pt>
                <c:pt idx="33">
                  <c:v>38533</c:v>
                </c:pt>
                <c:pt idx="34">
                  <c:v>38625</c:v>
                </c:pt>
                <c:pt idx="35">
                  <c:v>38717</c:v>
                </c:pt>
                <c:pt idx="36">
                  <c:v>38807</c:v>
                </c:pt>
                <c:pt idx="37">
                  <c:v>38898</c:v>
                </c:pt>
                <c:pt idx="38">
                  <c:v>38990</c:v>
                </c:pt>
                <c:pt idx="39">
                  <c:v>39082</c:v>
                </c:pt>
                <c:pt idx="40">
                  <c:v>39172</c:v>
                </c:pt>
                <c:pt idx="41">
                  <c:v>39263</c:v>
                </c:pt>
                <c:pt idx="42">
                  <c:v>39355</c:v>
                </c:pt>
                <c:pt idx="43">
                  <c:v>39447</c:v>
                </c:pt>
                <c:pt idx="44">
                  <c:v>39538</c:v>
                </c:pt>
                <c:pt idx="45">
                  <c:v>39629</c:v>
                </c:pt>
                <c:pt idx="46">
                  <c:v>39721</c:v>
                </c:pt>
                <c:pt idx="47">
                  <c:v>39813</c:v>
                </c:pt>
                <c:pt idx="48">
                  <c:v>39903</c:v>
                </c:pt>
                <c:pt idx="49">
                  <c:v>39994</c:v>
                </c:pt>
                <c:pt idx="50">
                  <c:v>40086</c:v>
                </c:pt>
                <c:pt idx="51">
                  <c:v>40178</c:v>
                </c:pt>
                <c:pt idx="52">
                  <c:v>40268</c:v>
                </c:pt>
                <c:pt idx="53">
                  <c:v>40359</c:v>
                </c:pt>
                <c:pt idx="54">
                  <c:v>40451</c:v>
                </c:pt>
                <c:pt idx="55">
                  <c:v>40543</c:v>
                </c:pt>
                <c:pt idx="56">
                  <c:v>40633</c:v>
                </c:pt>
                <c:pt idx="57">
                  <c:v>40724</c:v>
                </c:pt>
                <c:pt idx="58">
                  <c:v>40816</c:v>
                </c:pt>
                <c:pt idx="59">
                  <c:v>40908</c:v>
                </c:pt>
                <c:pt idx="60">
                  <c:v>40999</c:v>
                </c:pt>
                <c:pt idx="61">
                  <c:v>41090</c:v>
                </c:pt>
                <c:pt idx="62">
                  <c:v>41182</c:v>
                </c:pt>
                <c:pt idx="63">
                  <c:v>41274</c:v>
                </c:pt>
                <c:pt idx="64">
                  <c:v>41364</c:v>
                </c:pt>
                <c:pt idx="65">
                  <c:v>41455</c:v>
                </c:pt>
                <c:pt idx="66">
                  <c:v>41547</c:v>
                </c:pt>
                <c:pt idx="67">
                  <c:v>41639</c:v>
                </c:pt>
                <c:pt idx="68">
                  <c:v>41729</c:v>
                </c:pt>
                <c:pt idx="69">
                  <c:v>41820</c:v>
                </c:pt>
                <c:pt idx="70">
                  <c:v>41912</c:v>
                </c:pt>
                <c:pt idx="71">
                  <c:v>42004</c:v>
                </c:pt>
                <c:pt idx="72">
                  <c:v>42094</c:v>
                </c:pt>
                <c:pt idx="73">
                  <c:v>42185</c:v>
                </c:pt>
                <c:pt idx="74">
                  <c:v>42277</c:v>
                </c:pt>
                <c:pt idx="75">
                  <c:v>42369</c:v>
                </c:pt>
                <c:pt idx="76">
                  <c:v>42460</c:v>
                </c:pt>
                <c:pt idx="77">
                  <c:v>42551</c:v>
                </c:pt>
                <c:pt idx="78">
                  <c:v>42643</c:v>
                </c:pt>
                <c:pt idx="79">
                  <c:v>42735</c:v>
                </c:pt>
                <c:pt idx="80">
                  <c:v>42825</c:v>
                </c:pt>
                <c:pt idx="81">
                  <c:v>42916</c:v>
                </c:pt>
                <c:pt idx="82">
                  <c:v>43008</c:v>
                </c:pt>
              </c:numCache>
            </c:numRef>
          </c:cat>
          <c:val>
            <c:numRef>
              <c:f>'Papildu novirze'!$D$3:$D$91</c:f>
              <c:numCache>
                <c:formatCode>General</c:formatCode>
                <c:ptCount val="83"/>
                <c:pt idx="12" formatCode="#,##0">
                  <c:v>0.19133807896006799</c:v>
                </c:pt>
                <c:pt idx="13" formatCode="#,##0">
                  <c:v>1.9291227006306101E-3</c:v>
                </c:pt>
                <c:pt idx="14" formatCode="#,##0">
                  <c:v>0.206923756189484</c:v>
                </c:pt>
                <c:pt idx="15" formatCode="#,##0">
                  <c:v>0.58372011732997398</c:v>
                </c:pt>
                <c:pt idx="16" formatCode="#,##0">
                  <c:v>0.79918104621677999</c:v>
                </c:pt>
                <c:pt idx="17" formatCode="#,##0">
                  <c:v>0.56707484375250705</c:v>
                </c:pt>
                <c:pt idx="18" formatCode="#,##0">
                  <c:v>0.59175761654215697</c:v>
                </c:pt>
                <c:pt idx="19" formatCode="#,##0">
                  <c:v>0.75479977693509004</c:v>
                </c:pt>
                <c:pt idx="20" formatCode="#,##0">
                  <c:v>0.57204804065580095</c:v>
                </c:pt>
                <c:pt idx="21" formatCode="#,##0">
                  <c:v>0.25867388244040801</c:v>
                </c:pt>
                <c:pt idx="22" formatCode="#,##0">
                  <c:v>0.59460044149461999</c:v>
                </c:pt>
                <c:pt idx="23" formatCode="#,##0">
                  <c:v>1.1948962255001301</c:v>
                </c:pt>
                <c:pt idx="24" formatCode="#,##0">
                  <c:v>1.4471499746168199</c:v>
                </c:pt>
                <c:pt idx="25" formatCode="#,##0">
                  <c:v>1.6549810104586</c:v>
                </c:pt>
                <c:pt idx="26" formatCode="#,##0">
                  <c:v>1.9530887960247101</c:v>
                </c:pt>
                <c:pt idx="27" formatCode="#,##0">
                  <c:v>2.68786463139873</c:v>
                </c:pt>
                <c:pt idx="28" formatCode="#,##0">
                  <c:v>3.2959619694579398</c:v>
                </c:pt>
                <c:pt idx="29" formatCode="#,##0">
                  <c:v>3.9328781717946</c:v>
                </c:pt>
                <c:pt idx="30" formatCode="#,##0">
                  <c:v>4.68690049734127</c:v>
                </c:pt>
                <c:pt idx="31" formatCode="#,##0">
                  <c:v>4.7404612023664798</c:v>
                </c:pt>
                <c:pt idx="32" formatCode="#,##0">
                  <c:v>5.1028342577563501</c:v>
                </c:pt>
                <c:pt idx="33" formatCode="#,##0">
                  <c:v>6.2958205876215603</c:v>
                </c:pt>
                <c:pt idx="34" formatCode="#,##0">
                  <c:v>7.1612317545444197</c:v>
                </c:pt>
                <c:pt idx="35" formatCode="#,##0">
                  <c:v>8.5900252836569102</c:v>
                </c:pt>
                <c:pt idx="36" formatCode="#,##0">
                  <c:v>8.4719836845124803</c:v>
                </c:pt>
                <c:pt idx="37" formatCode="#,##0">
                  <c:v>9.8814913124056201</c:v>
                </c:pt>
                <c:pt idx="38" formatCode="#,##0">
                  <c:v>11.398172008677101</c:v>
                </c:pt>
                <c:pt idx="39" formatCode="#,##0">
                  <c:v>13.0033003304118</c:v>
                </c:pt>
                <c:pt idx="40" formatCode="#,##0">
                  <c:v>11.7697660065439</c:v>
                </c:pt>
                <c:pt idx="41" formatCode="#,##0">
                  <c:v>9.8193951199369405</c:v>
                </c:pt>
                <c:pt idx="42" formatCode="#,##0">
                  <c:v>6.9595123960116796</c:v>
                </c:pt>
                <c:pt idx="43" formatCode="#,##0">
                  <c:v>3.7543322813946598</c:v>
                </c:pt>
                <c:pt idx="44" formatCode="#,##0">
                  <c:v>1.42383502015619</c:v>
                </c:pt>
                <c:pt idx="45" formatCode="#,##0">
                  <c:v>0.15085609685635801</c:v>
                </c:pt>
                <c:pt idx="46" formatCode="#,##0">
                  <c:v>-0.60704224137238305</c:v>
                </c:pt>
                <c:pt idx="47" formatCode="#,##0">
                  <c:v>-1.8586538914084301</c:v>
                </c:pt>
                <c:pt idx="48" formatCode="#,##0">
                  <c:v>-1.25950305912951</c:v>
                </c:pt>
                <c:pt idx="49" formatCode="#,##0">
                  <c:v>0.77749665750016494</c:v>
                </c:pt>
                <c:pt idx="50" formatCode="#,##0">
                  <c:v>4.0208854126770399</c:v>
                </c:pt>
                <c:pt idx="51" formatCode="#,##0">
                  <c:v>5.8998530098589104</c:v>
                </c:pt>
                <c:pt idx="52" formatCode="#,##0">
                  <c:v>5.4175795934965203</c:v>
                </c:pt>
                <c:pt idx="53" formatCode="#,##0">
                  <c:v>3.7783141341847601</c:v>
                </c:pt>
                <c:pt idx="54" formatCode="#,##0">
                  <c:v>0.112307230646223</c:v>
                </c:pt>
                <c:pt idx="55" formatCode="#,##0">
                  <c:v>-5.7938619329618302</c:v>
                </c:pt>
                <c:pt idx="56" formatCode="#,##0">
                  <c:v>-10.845794520309701</c:v>
                </c:pt>
                <c:pt idx="57" formatCode="#,##0">
                  <c:v>-15.918888605042101</c:v>
                </c:pt>
                <c:pt idx="58" formatCode="#,##0">
                  <c:v>-19.5398527293396</c:v>
                </c:pt>
                <c:pt idx="59" formatCode="#,##0">
                  <c:v>-24.448008280352202</c:v>
                </c:pt>
                <c:pt idx="60" formatCode="#,##0">
                  <c:v>-29.7266704538706</c:v>
                </c:pt>
                <c:pt idx="61" formatCode="#,##0">
                  <c:v>-32.473742199819199</c:v>
                </c:pt>
                <c:pt idx="62" formatCode="#,##0">
                  <c:v>-32.898847636817401</c:v>
                </c:pt>
                <c:pt idx="63" formatCode="#,##0">
                  <c:v>-34.419875046815498</c:v>
                </c:pt>
                <c:pt idx="64" formatCode="#,##0">
                  <c:v>-34.747360418279499</c:v>
                </c:pt>
                <c:pt idx="65" formatCode="#,##0">
                  <c:v>-35.571763534021599</c:v>
                </c:pt>
                <c:pt idx="66" formatCode="#,##0">
                  <c:v>-35.775512675720101</c:v>
                </c:pt>
                <c:pt idx="67" formatCode="#,##0">
                  <c:v>-35.7910725566595</c:v>
                </c:pt>
                <c:pt idx="68" formatCode="#,##0">
                  <c:v>-37.283026143169998</c:v>
                </c:pt>
                <c:pt idx="69" formatCode="#,##0">
                  <c:v>-36.951503071825798</c:v>
                </c:pt>
                <c:pt idx="70" formatCode="#,##0">
                  <c:v>-35.915662603856497</c:v>
                </c:pt>
                <c:pt idx="71" formatCode="#,##0">
                  <c:v>-36.075453832713698</c:v>
                </c:pt>
                <c:pt idx="72" formatCode="#,##0">
                  <c:v>-35.038443878352297</c:v>
                </c:pt>
                <c:pt idx="73" formatCode="#,##0">
                  <c:v>-34.245711981412597</c:v>
                </c:pt>
                <c:pt idx="74" formatCode="#,##0">
                  <c:v>-33.265289156650397</c:v>
                </c:pt>
                <c:pt idx="75" formatCode="#,##0">
                  <c:v>-32.726565233666697</c:v>
                </c:pt>
                <c:pt idx="76" formatCode="#,##0">
                  <c:v>-32.055349456038797</c:v>
                </c:pt>
                <c:pt idx="77" formatCode="#,##0">
                  <c:v>-30.053212600660999</c:v>
                </c:pt>
                <c:pt idx="78" formatCode="#,##0">
                  <c:v>-28.6292978367348</c:v>
                </c:pt>
                <c:pt idx="79" formatCode="#,##0">
                  <c:v>-27.771172565401098</c:v>
                </c:pt>
                <c:pt idx="80" formatCode="#,##0">
                  <c:v>-26.916524577819999</c:v>
                </c:pt>
                <c:pt idx="81" formatCode="#,##0">
                  <c:v>-26.560512434382598</c:v>
                </c:pt>
                <c:pt idx="82" formatCode="#,##0">
                  <c:v>-26.981070349319801</c:v>
                </c:pt>
              </c:numCache>
            </c:numRef>
          </c:val>
          <c:smooth val="0"/>
          <c:extLst xmlns:c16r2="http://schemas.microsoft.com/office/drawing/2015/06/chart">
            <c:ext xmlns:c16="http://schemas.microsoft.com/office/drawing/2014/chart" uri="{C3380CC4-5D6E-409C-BE32-E72D297353CC}">
              <c16:uniqueId val="{00000003-A514-41F4-99A7-4BB0EAB3BE85}"/>
            </c:ext>
          </c:extLst>
        </c:ser>
        <c:dLbls>
          <c:showLegendKey val="0"/>
          <c:showVal val="0"/>
          <c:showCatName val="0"/>
          <c:showSerName val="0"/>
          <c:showPercent val="0"/>
          <c:showBubbleSize val="0"/>
        </c:dLbls>
        <c:marker val="1"/>
        <c:smooth val="0"/>
        <c:axId val="37549184"/>
        <c:axId val="37550720"/>
      </c:lineChart>
      <c:dateAx>
        <c:axId val="37549184"/>
        <c:scaling>
          <c:orientation val="minMax"/>
        </c:scaling>
        <c:delete val="0"/>
        <c:axPos val="b"/>
        <c:majorGridlines>
          <c:spPr>
            <a:ln>
              <a:solidFill>
                <a:sysClr val="window" lastClr="FFFFFF">
                  <a:lumMod val="85000"/>
                </a:sysClr>
              </a:solidFill>
            </a:ln>
          </c:spPr>
        </c:majorGridlines>
        <c:numFmt formatCode="yyyy\ " sourceLinked="0"/>
        <c:majorTickMark val="out"/>
        <c:minorTickMark val="in"/>
        <c:tickLblPos val="low"/>
        <c:txPr>
          <a:bodyPr/>
          <a:lstStyle/>
          <a:p>
            <a:pPr>
              <a:defRPr sz="1100"/>
            </a:pPr>
            <a:endParaRPr lang="lv-LV"/>
          </a:p>
        </c:txPr>
        <c:crossAx val="37550720"/>
        <c:crosses val="autoZero"/>
        <c:auto val="1"/>
        <c:lblOffset val="100"/>
        <c:baseTimeUnit val="months"/>
        <c:majorUnit val="1"/>
        <c:majorTimeUnit val="years"/>
        <c:minorUnit val="4"/>
      </c:dateAx>
      <c:valAx>
        <c:axId val="37550720"/>
        <c:scaling>
          <c:orientation val="minMax"/>
          <c:max val="200"/>
          <c:min val="-100"/>
        </c:scaling>
        <c:delete val="0"/>
        <c:axPos val="l"/>
        <c:majorGridlines>
          <c:spPr>
            <a:ln>
              <a:solidFill>
                <a:schemeClr val="bg1">
                  <a:lumMod val="85000"/>
                </a:schemeClr>
              </a:solidFill>
            </a:ln>
          </c:spPr>
        </c:majorGridlines>
        <c:numFmt formatCode="#,##0" sourceLinked="0"/>
        <c:majorTickMark val="out"/>
        <c:minorTickMark val="none"/>
        <c:tickLblPos val="nextTo"/>
        <c:txPr>
          <a:bodyPr/>
          <a:lstStyle/>
          <a:p>
            <a:pPr>
              <a:defRPr sz="1100"/>
            </a:pPr>
            <a:endParaRPr lang="lv-LV"/>
          </a:p>
        </c:txPr>
        <c:crossAx val="37549184"/>
        <c:crosses val="autoZero"/>
        <c:crossBetween val="between"/>
      </c:valAx>
      <c:valAx>
        <c:axId val="38732160"/>
        <c:scaling>
          <c:orientation val="minMax"/>
          <c:max val="6"/>
        </c:scaling>
        <c:delete val="0"/>
        <c:axPos val="r"/>
        <c:numFmt formatCode="General" sourceLinked="1"/>
        <c:majorTickMark val="out"/>
        <c:minorTickMark val="none"/>
        <c:tickLblPos val="nextTo"/>
        <c:crossAx val="38733696"/>
        <c:crosses val="max"/>
        <c:crossBetween val="between"/>
      </c:valAx>
      <c:dateAx>
        <c:axId val="38733696"/>
        <c:scaling>
          <c:orientation val="minMax"/>
        </c:scaling>
        <c:delete val="1"/>
        <c:axPos val="b"/>
        <c:numFmt formatCode="mm\ yyyy" sourceLinked="1"/>
        <c:majorTickMark val="out"/>
        <c:minorTickMark val="none"/>
        <c:tickLblPos val="nextTo"/>
        <c:crossAx val="38732160"/>
        <c:crosses val="autoZero"/>
        <c:auto val="1"/>
        <c:lblOffset val="100"/>
        <c:baseTimeUnit val="months"/>
        <c:majorUnit val="1"/>
        <c:minorUnit val="1"/>
      </c:dateAx>
    </c:plotArea>
    <c:legend>
      <c:legendPos val="b"/>
      <c:layout>
        <c:manualLayout>
          <c:xMode val="edge"/>
          <c:yMode val="edge"/>
          <c:x val="1.3734475616341307E-2"/>
          <c:y val="0.78437917319214179"/>
          <c:w val="0.89999994627078983"/>
          <c:h val="0.18794064203513022"/>
        </c:manualLayout>
      </c:layout>
      <c:overlay val="0"/>
      <c:txPr>
        <a:bodyPr/>
        <a:lstStyle/>
        <a:p>
          <a:pPr>
            <a:defRPr sz="1100"/>
          </a:pPr>
          <a:endParaRPr lang="lv-LV"/>
        </a:p>
      </c:txPr>
    </c:legend>
    <c:plotVisOnly val="1"/>
    <c:dispBlanksAs val="gap"/>
    <c:showDLblsOverMax val="0"/>
  </c:chart>
  <c:spPr>
    <a:noFill/>
    <a:ln>
      <a:noFill/>
    </a:ln>
  </c:spPr>
  <c:txPr>
    <a:bodyPr/>
    <a:lstStyle/>
    <a:p>
      <a:pPr>
        <a:defRPr sz="1200" b="1">
          <a:latin typeface="Times New Roman" pitchFamily="18" charset="0"/>
          <a:cs typeface="Times New Roman" pitchFamily="18" charset="0"/>
        </a:defRPr>
      </a:pPr>
      <a:endParaRPr lang="lv-LV"/>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2BEDA-22F7-4C6D-AC71-D609EBD4C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TotalTime>
  <Pages>3</Pages>
  <Words>3523</Words>
  <Characters>2009</Characters>
  <Application>Microsoft Office Word</Application>
  <DocSecurity>0</DocSecurity>
  <Lines>16</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Zubkova</dc:creator>
  <cp:lastModifiedBy>Jelena Zubkova</cp:lastModifiedBy>
  <cp:revision>80</cp:revision>
  <cp:lastPrinted>2016-01-27T08:05:00Z</cp:lastPrinted>
  <dcterms:created xsi:type="dcterms:W3CDTF">2017-03-10T12:21:00Z</dcterms:created>
  <dcterms:modified xsi:type="dcterms:W3CDTF">2018-01-17T13:32:00Z</dcterms:modified>
</cp:coreProperties>
</file>